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0B05" w14:textId="499F14BA" w:rsidR="002D0610" w:rsidRDefault="002D0610">
      <w:pPr>
        <w:pStyle w:val="CowiAddress"/>
        <w:framePr w:wrap="notBeside"/>
      </w:pPr>
    </w:p>
    <w:p w14:paraId="6545C443" w14:textId="06314232" w:rsidR="002D0610" w:rsidRDefault="002D0610">
      <w:pPr>
        <w:pStyle w:val="FRI"/>
        <w:framePr w:wrap="around"/>
      </w:pPr>
    </w:p>
    <w:p w14:paraId="4087370D" w14:textId="7F5A3CB4" w:rsidR="002D0610" w:rsidRDefault="002D0610">
      <w:pPr>
        <w:pStyle w:val="Salutation"/>
      </w:pPr>
    </w:p>
    <w:p w14:paraId="1E57B91A" w14:textId="7EAFEFFE" w:rsidR="002D0610" w:rsidRDefault="00F07550">
      <w:pPr>
        <w:pStyle w:val="CowiTitle"/>
        <w:spacing w:after="280"/>
      </w:pPr>
      <w:r>
        <w:t>Cabling Re</w:t>
      </w:r>
      <w:r w:rsidR="005E42A3">
        <w:t>sources</w:t>
      </w:r>
    </w:p>
    <w:p w14:paraId="2664E9F2" w14:textId="7AD7EC36" w:rsidR="002D0610" w:rsidRDefault="00FD2810">
      <w:pPr>
        <w:pStyle w:val="BodyText"/>
      </w:pPr>
      <w:r>
        <w:t xml:space="preserve">The following is a list of </w:t>
      </w:r>
      <w:r w:rsidR="003D1409">
        <w:t xml:space="preserve">publicly available online </w:t>
      </w:r>
      <w:r w:rsidR="00507F10">
        <w:t>resources</w:t>
      </w:r>
      <w:r w:rsidR="003D1409">
        <w:t xml:space="preserve"> and education materials related to </w:t>
      </w:r>
      <w:r w:rsidR="0098055F">
        <w:t xml:space="preserve">submarine </w:t>
      </w:r>
      <w:r w:rsidR="003D1409">
        <w:t>cable installation</w:t>
      </w:r>
      <w:r w:rsidR="001C7D2A">
        <w:t xml:space="preserve"> and operations.</w:t>
      </w:r>
    </w:p>
    <w:p w14:paraId="66A376F6" w14:textId="4E7B9317" w:rsidR="002F2D0C" w:rsidRDefault="0091483D">
      <w:pPr>
        <w:pStyle w:val="BodyText"/>
      </w:pPr>
      <w:r>
        <w:t>COWI</w:t>
      </w:r>
      <w:r w:rsidR="002F2D0C" w:rsidRPr="002F2D0C">
        <w:t xml:space="preserve"> has no direct control over the content of any linked websites, or the changes that may occur to the content on those websites. Links to external websites are provided in good faith, but it is the responsibility of the user to make their own decisions about the accuracy, currency, </w:t>
      </w:r>
      <w:r w:rsidR="003F5F41">
        <w:t>comprehensiveness</w:t>
      </w:r>
      <w:r w:rsidR="0045345A">
        <w:t xml:space="preserve">, </w:t>
      </w:r>
      <w:r w:rsidR="002F2D0C" w:rsidRPr="002F2D0C">
        <w:t>reliability and correctness of information contained in linked external websites. Links to external websites do not constitute an endorsement or a recommendation of any material on those websites or of any third party products or services offered by, from or through those websites. Users of links provided by this website are responsible for being aware of which organi</w:t>
      </w:r>
      <w:r>
        <w:t>z</w:t>
      </w:r>
      <w:r w:rsidR="002F2D0C" w:rsidRPr="002F2D0C">
        <w:t>ation is hosting the website they visit.</w:t>
      </w:r>
    </w:p>
    <w:p w14:paraId="191DC208" w14:textId="5F512853" w:rsidR="000C5347" w:rsidRPr="00040B67" w:rsidRDefault="000C5347" w:rsidP="00A808E2">
      <w:pPr>
        <w:pStyle w:val="ListBullet"/>
        <w:numPr>
          <w:ilvl w:val="0"/>
          <w:numId w:val="0"/>
        </w:numPr>
        <w:ind w:left="425" w:hanging="425"/>
        <w:rPr>
          <w:color w:val="48635A" w:themeColor="accent2" w:themeShade="80"/>
          <w:sz w:val="22"/>
          <w:szCs w:val="22"/>
        </w:rPr>
      </w:pPr>
      <w:r w:rsidRPr="00040B67">
        <w:rPr>
          <w:color w:val="48635A" w:themeColor="accent2" w:themeShade="80"/>
          <w:sz w:val="22"/>
          <w:szCs w:val="22"/>
        </w:rPr>
        <w:t>NYSERDA</w:t>
      </w:r>
      <w:r w:rsidR="002F4A63" w:rsidRPr="00040B67">
        <w:rPr>
          <w:color w:val="48635A" w:themeColor="accent2" w:themeShade="80"/>
          <w:sz w:val="22"/>
          <w:szCs w:val="22"/>
        </w:rPr>
        <w:t xml:space="preserve"> and Technical Working Group</w:t>
      </w:r>
      <w:r w:rsidRPr="00040B67">
        <w:rPr>
          <w:color w:val="48635A" w:themeColor="accent2" w:themeShade="80"/>
          <w:sz w:val="22"/>
          <w:szCs w:val="22"/>
        </w:rPr>
        <w:t xml:space="preserve"> Publications:</w:t>
      </w:r>
    </w:p>
    <w:p w14:paraId="1577E4E6" w14:textId="6865C144" w:rsidR="00F51F3C" w:rsidRDefault="00F51F3C" w:rsidP="000C5347">
      <w:pPr>
        <w:pStyle w:val="ListBullet"/>
      </w:pPr>
      <w:r>
        <w:t xml:space="preserve">Offshore Wind Submarine Cabling (Learning from the Experts), NYSERDA webinar, </w:t>
      </w:r>
      <w:hyperlink r:id="rId11" w:history="1">
        <w:r>
          <w:rPr>
            <w:rStyle w:val="Hyperlink"/>
          </w:rPr>
          <w:t>Offshore Wind Submarine Cabling (Learning from the Experts) - YouTube</w:t>
        </w:r>
      </w:hyperlink>
    </w:p>
    <w:p w14:paraId="2C109060" w14:textId="016121DB" w:rsidR="000C5347" w:rsidRDefault="008324E2" w:rsidP="000C5347">
      <w:pPr>
        <w:pStyle w:val="ListBullet"/>
      </w:pPr>
      <w:r>
        <w:t xml:space="preserve">Offshore Wind Submarine Cabling Overview, </w:t>
      </w:r>
      <w:r w:rsidR="0058642B">
        <w:t xml:space="preserve">Fisheries Technical Working Group, April 2021, </w:t>
      </w:r>
      <w:hyperlink r:id="rId12" w:history="1">
        <w:r w:rsidR="000C5347">
          <w:rPr>
            <w:rStyle w:val="Hyperlink"/>
          </w:rPr>
          <w:t>Offshore Wind Submarine Cabling Overview (nyftwg.com)</w:t>
        </w:r>
      </w:hyperlink>
    </w:p>
    <w:p w14:paraId="2B75BC75" w14:textId="224994E3" w:rsidR="008A753D" w:rsidRDefault="2E46F5F0" w:rsidP="00F51F3C">
      <w:pPr>
        <w:pStyle w:val="ListBullet"/>
      </w:pPr>
      <w:r>
        <w:t xml:space="preserve">Anchor Strike Study, Maritime Technical Working Group, March 2022, </w:t>
      </w:r>
      <w:hyperlink r:id="rId13">
        <w:r w:rsidRPr="68566D49">
          <w:rPr>
            <w:rStyle w:val="Hyperlink"/>
          </w:rPr>
          <w:t>Maritime Technical Working Group Support (nymtwg.com)</w:t>
        </w:r>
      </w:hyperlink>
    </w:p>
    <w:p w14:paraId="1145139C" w14:textId="224994E3" w:rsidR="00B71E6F" w:rsidRDefault="00B71E6F" w:rsidP="00A808E2">
      <w:pPr>
        <w:pStyle w:val="ListBullet"/>
        <w:numPr>
          <w:ilvl w:val="0"/>
          <w:numId w:val="0"/>
        </w:numPr>
        <w:ind w:left="425" w:hanging="425"/>
        <w:rPr>
          <w:color w:val="48635A" w:themeColor="accent2" w:themeShade="80"/>
          <w:sz w:val="22"/>
          <w:szCs w:val="22"/>
        </w:rPr>
      </w:pPr>
    </w:p>
    <w:p w14:paraId="0035D01A" w14:textId="224994E3" w:rsidR="00B71E6F" w:rsidRDefault="00B71E6F" w:rsidP="00A808E2">
      <w:pPr>
        <w:pStyle w:val="ListBullet"/>
        <w:numPr>
          <w:ilvl w:val="0"/>
          <w:numId w:val="0"/>
        </w:numPr>
        <w:ind w:left="425" w:hanging="425"/>
        <w:rPr>
          <w:color w:val="48635A" w:themeColor="accent2" w:themeShade="80"/>
          <w:sz w:val="22"/>
          <w:szCs w:val="22"/>
        </w:rPr>
      </w:pPr>
    </w:p>
    <w:p w14:paraId="1635A5E2" w14:textId="202D2D76" w:rsidR="00A808E2" w:rsidRDefault="00A808E2" w:rsidP="00A808E2">
      <w:pPr>
        <w:pStyle w:val="ListBullet"/>
        <w:numPr>
          <w:ilvl w:val="0"/>
          <w:numId w:val="0"/>
        </w:numPr>
        <w:ind w:left="425" w:hanging="425"/>
      </w:pPr>
      <w:r w:rsidRPr="00040B67">
        <w:rPr>
          <w:color w:val="48635A" w:themeColor="accent2" w:themeShade="80"/>
          <w:sz w:val="22"/>
          <w:szCs w:val="22"/>
        </w:rPr>
        <w:lastRenderedPageBreak/>
        <w:t>International Cable Protection Committees:</w:t>
      </w:r>
    </w:p>
    <w:p w14:paraId="69236BDA" w14:textId="2E4E8AF5" w:rsidR="004B2409" w:rsidRDefault="00184403" w:rsidP="004B2409">
      <w:pPr>
        <w:pStyle w:val="ListBullet"/>
      </w:pPr>
      <w:r>
        <w:t>International Cable Protection Committee</w:t>
      </w:r>
      <w:r w:rsidR="004B2409">
        <w:t xml:space="preserve">, </w:t>
      </w:r>
      <w:hyperlink r:id="rId14" w:history="1">
        <w:r w:rsidR="004B2409">
          <w:rPr>
            <w:rStyle w:val="Hyperlink"/>
          </w:rPr>
          <w:t>International Cable Protection Committee (ICPC) (iscpc.org)</w:t>
        </w:r>
      </w:hyperlink>
    </w:p>
    <w:p w14:paraId="1BF5B3A5" w14:textId="7A989362" w:rsidR="00302DE8" w:rsidRDefault="00302DE8" w:rsidP="004B2409">
      <w:pPr>
        <w:pStyle w:val="ListBullet"/>
      </w:pPr>
      <w:r>
        <w:t xml:space="preserve">Danish Cable Protection Committee, </w:t>
      </w:r>
      <w:hyperlink r:id="rId15" w:history="1">
        <w:r>
          <w:rPr>
            <w:rStyle w:val="Hyperlink"/>
          </w:rPr>
          <w:t>Home - dkcpc</w:t>
        </w:r>
      </w:hyperlink>
    </w:p>
    <w:p w14:paraId="6FEE230E" w14:textId="47329EE5" w:rsidR="00A808E2" w:rsidRDefault="00A808E2" w:rsidP="00A808E2">
      <w:pPr>
        <w:pStyle w:val="ListBullet"/>
        <w:numPr>
          <w:ilvl w:val="0"/>
          <w:numId w:val="0"/>
        </w:numPr>
        <w:ind w:left="425" w:hanging="425"/>
      </w:pPr>
      <w:r w:rsidRPr="00040B67">
        <w:rPr>
          <w:color w:val="48635A" w:themeColor="accent2" w:themeShade="80"/>
          <w:sz w:val="22"/>
          <w:szCs w:val="22"/>
        </w:rPr>
        <w:t>International Maintenance Agreements:</w:t>
      </w:r>
    </w:p>
    <w:p w14:paraId="237D90C5" w14:textId="274BBBD3" w:rsidR="00F52FB2" w:rsidRDefault="00F52FB2" w:rsidP="004B2409">
      <w:pPr>
        <w:pStyle w:val="ListBullet"/>
      </w:pPr>
      <w:r>
        <w:t xml:space="preserve">Atlantic Cable Maintenance &amp; Repair Agreement, </w:t>
      </w:r>
      <w:hyperlink r:id="rId16" w:history="1">
        <w:r>
          <w:rPr>
            <w:rStyle w:val="Hyperlink"/>
          </w:rPr>
          <w:t>Atlantic Cable Maintenance &amp; Repair Agreement (ACMA) (acma2017.com)</w:t>
        </w:r>
      </w:hyperlink>
    </w:p>
    <w:p w14:paraId="341147BD" w14:textId="0253E921" w:rsidR="00E0794E" w:rsidRDefault="00E0794E" w:rsidP="004B2409">
      <w:pPr>
        <w:pStyle w:val="ListBullet"/>
      </w:pPr>
      <w:r>
        <w:t xml:space="preserve">Mediterranean Cable Maintenance Agreement, </w:t>
      </w:r>
      <w:hyperlink r:id="rId17" w:history="1">
        <w:r>
          <w:rPr>
            <w:rStyle w:val="Hyperlink"/>
          </w:rPr>
          <w:t>Home (mecmamc.org)</w:t>
        </w:r>
      </w:hyperlink>
    </w:p>
    <w:p w14:paraId="5749C828" w14:textId="53DD01A3" w:rsidR="00ED0251" w:rsidRDefault="00ED0251" w:rsidP="004B2409">
      <w:pPr>
        <w:pStyle w:val="ListBullet"/>
      </w:pPr>
      <w:r>
        <w:t>Yoko</w:t>
      </w:r>
      <w:r w:rsidR="00A808E2">
        <w:t xml:space="preserve">hama Zone, </w:t>
      </w:r>
      <w:hyperlink r:id="rId18" w:history="1">
        <w:r w:rsidR="00A808E2">
          <w:rPr>
            <w:rStyle w:val="Hyperlink"/>
          </w:rPr>
          <w:t>Yokohama Zone</w:t>
        </w:r>
      </w:hyperlink>
    </w:p>
    <w:p w14:paraId="23023110" w14:textId="03CD6437" w:rsidR="00A808E2" w:rsidRDefault="00A808E2" w:rsidP="00040B67">
      <w:pPr>
        <w:pStyle w:val="ListBullet"/>
        <w:numPr>
          <w:ilvl w:val="0"/>
          <w:numId w:val="0"/>
        </w:numPr>
        <w:ind w:left="425" w:hanging="425"/>
      </w:pPr>
      <w:r w:rsidRPr="00040B67">
        <w:rPr>
          <w:color w:val="48635A" w:themeColor="accent2" w:themeShade="80"/>
          <w:sz w:val="22"/>
          <w:szCs w:val="22"/>
        </w:rPr>
        <w:t>International Cable Associations:</w:t>
      </w:r>
    </w:p>
    <w:p w14:paraId="7008AD4C" w14:textId="6A092274" w:rsidR="00346399" w:rsidRDefault="00346399" w:rsidP="004B2409">
      <w:pPr>
        <w:pStyle w:val="ListBullet"/>
      </w:pPr>
      <w:r>
        <w:t>North Atlantic Submarine Cable Association</w:t>
      </w:r>
      <w:r w:rsidR="0077557A">
        <w:t xml:space="preserve"> (NASCA)</w:t>
      </w:r>
      <w:r>
        <w:t xml:space="preserve">, </w:t>
      </w:r>
      <w:hyperlink r:id="rId19" w:history="1">
        <w:r>
          <w:rPr>
            <w:rStyle w:val="Hyperlink"/>
          </w:rPr>
          <w:t>Home - NASCA (n-a-s-c-a.org)</w:t>
        </w:r>
      </w:hyperlink>
    </w:p>
    <w:p w14:paraId="01BBD507" w14:textId="3719A5A7" w:rsidR="004B2409" w:rsidRDefault="007B2E1B" w:rsidP="004B2409">
      <w:pPr>
        <w:pStyle w:val="ListBullet"/>
      </w:pPr>
      <w:r>
        <w:t>European Subsea Cables Association</w:t>
      </w:r>
      <w:r w:rsidR="0077557A">
        <w:t xml:space="preserve"> (ESCA)</w:t>
      </w:r>
      <w:r>
        <w:t xml:space="preserve">, </w:t>
      </w:r>
      <w:hyperlink r:id="rId20" w:history="1">
        <w:r>
          <w:rPr>
            <w:rStyle w:val="Hyperlink"/>
          </w:rPr>
          <w:t>European Subsea Cables Association (ESCA) (escaeu.org)</w:t>
        </w:r>
      </w:hyperlink>
    </w:p>
    <w:p w14:paraId="2E1CB067" w14:textId="55D073C6" w:rsidR="00EA120E" w:rsidRDefault="0077557A" w:rsidP="004B2409">
      <w:pPr>
        <w:pStyle w:val="ListBullet"/>
      </w:pPr>
      <w:r>
        <w:t>Oceania Submarine Cable Association (OSCA)</w:t>
      </w:r>
      <w:r w:rsidR="007F5662">
        <w:t xml:space="preserve">, </w:t>
      </w:r>
      <w:hyperlink r:id="rId21" w:history="1">
        <w:r w:rsidR="007F5662">
          <w:rPr>
            <w:rStyle w:val="Hyperlink"/>
          </w:rPr>
          <w:t>- OSCA (oscagroup.com)</w:t>
        </w:r>
      </w:hyperlink>
    </w:p>
    <w:p w14:paraId="6310CF07" w14:textId="2E09164B" w:rsidR="00A05A95" w:rsidRDefault="00A05A95" w:rsidP="004B2409">
      <w:pPr>
        <w:pStyle w:val="ListBullet"/>
      </w:pPr>
      <w:r>
        <w:t xml:space="preserve">SubOptic Association, </w:t>
      </w:r>
      <w:hyperlink r:id="rId22" w:history="1">
        <w:r>
          <w:rPr>
            <w:rStyle w:val="Hyperlink"/>
          </w:rPr>
          <w:t>SubOptic</w:t>
        </w:r>
      </w:hyperlink>
    </w:p>
    <w:p w14:paraId="0CB1DC43" w14:textId="615EA42C" w:rsidR="00C6353B" w:rsidRDefault="00C6353B" w:rsidP="004B2409">
      <w:pPr>
        <w:pStyle w:val="ListBullet"/>
      </w:pPr>
      <w:r>
        <w:t xml:space="preserve">International Seabed Authority (ISA), </w:t>
      </w:r>
      <w:hyperlink r:id="rId23" w:history="1">
        <w:r w:rsidR="00786298">
          <w:rPr>
            <w:rStyle w:val="Hyperlink"/>
          </w:rPr>
          <w:t>About ISA – International Seabed Authority</w:t>
        </w:r>
      </w:hyperlink>
    </w:p>
    <w:p w14:paraId="0F83EF63" w14:textId="4F4DA931" w:rsidR="00AB7CF1" w:rsidRDefault="007B7DBB" w:rsidP="00AB7CF1">
      <w:pPr>
        <w:pStyle w:val="ListBullet"/>
        <w:numPr>
          <w:ilvl w:val="0"/>
          <w:numId w:val="0"/>
        </w:numPr>
        <w:ind w:left="425" w:hanging="425"/>
      </w:pPr>
      <w:r w:rsidRPr="00040B67">
        <w:rPr>
          <w:color w:val="48635A" w:themeColor="accent2" w:themeShade="80"/>
          <w:sz w:val="22"/>
          <w:szCs w:val="22"/>
        </w:rPr>
        <w:t>United States Agency Information</w:t>
      </w:r>
      <w:r w:rsidR="00AB7CF1" w:rsidRPr="00040B67">
        <w:rPr>
          <w:color w:val="48635A" w:themeColor="accent2" w:themeShade="80"/>
          <w:sz w:val="22"/>
          <w:szCs w:val="22"/>
        </w:rPr>
        <w:t>:</w:t>
      </w:r>
    </w:p>
    <w:p w14:paraId="715F5CCB" w14:textId="49B933D7" w:rsidR="00C80D2E" w:rsidRDefault="00AB7CF1" w:rsidP="004B2409">
      <w:pPr>
        <w:pStyle w:val="ListBullet"/>
      </w:pPr>
      <w:r>
        <w:t>Federal Communications Commission</w:t>
      </w:r>
      <w:r w:rsidR="00D544A4">
        <w:t xml:space="preserve">, </w:t>
      </w:r>
      <w:hyperlink r:id="rId24" w:history="1">
        <w:r w:rsidR="004764DC" w:rsidRPr="000C11A1">
          <w:rPr>
            <w:rStyle w:val="Hyperlink"/>
          </w:rPr>
          <w:t>https://www.fcc.gov/</w:t>
        </w:r>
      </w:hyperlink>
    </w:p>
    <w:p w14:paraId="1A816834" w14:textId="4B4AA20D" w:rsidR="00503BED" w:rsidRDefault="00503BED" w:rsidP="00C80D2E">
      <w:pPr>
        <w:pStyle w:val="ListBullet2"/>
      </w:pPr>
      <w:r>
        <w:t xml:space="preserve">Submarine Cable Landing Licenses, </w:t>
      </w:r>
      <w:hyperlink r:id="rId25" w:history="1">
        <w:r>
          <w:rPr>
            <w:rStyle w:val="Hyperlink"/>
          </w:rPr>
          <w:t>Submarine Cable Landing Licenses | Federal Communications Commission (fcc.gov)</w:t>
        </w:r>
      </w:hyperlink>
    </w:p>
    <w:p w14:paraId="4B7B194A" w14:textId="2DD68A39" w:rsidR="00AB7CF1" w:rsidRDefault="00A6099B" w:rsidP="00C80D2E">
      <w:pPr>
        <w:pStyle w:val="ListBullet2"/>
      </w:pPr>
      <w:r w:rsidRPr="00A6099B">
        <w:t xml:space="preserve">Cable Landing License </w:t>
      </w:r>
      <w:r w:rsidR="005226E4">
        <w:t>Act</w:t>
      </w:r>
      <w:r w:rsidR="00047FF9">
        <w:t xml:space="preserve"> &amp; Executive Order No. 10530</w:t>
      </w:r>
      <w:r>
        <w:t xml:space="preserve">, </w:t>
      </w:r>
      <w:hyperlink r:id="rId26" w:history="1">
        <w:r w:rsidR="00C80D2E">
          <w:rPr>
            <w:rStyle w:val="Hyperlink"/>
          </w:rPr>
          <w:t>Cable Landing License Act | Federal Communications Commission (fcc.gov)</w:t>
        </w:r>
      </w:hyperlink>
    </w:p>
    <w:p w14:paraId="1D80C958" w14:textId="64A5F8BA" w:rsidR="00F660E5" w:rsidRDefault="00F660E5" w:rsidP="00C80D2E">
      <w:pPr>
        <w:pStyle w:val="ListBullet2"/>
      </w:pPr>
      <w:r>
        <w:t xml:space="preserve">Submarine Cables, information, </w:t>
      </w:r>
      <w:hyperlink r:id="rId27" w:history="1">
        <w:r>
          <w:rPr>
            <w:rStyle w:val="Hyperlink"/>
          </w:rPr>
          <w:t>Submarine Cables | Federal Communications Commission (fcc.gov)</w:t>
        </w:r>
      </w:hyperlink>
    </w:p>
    <w:p w14:paraId="4DEE0084" w14:textId="139CA3AB" w:rsidR="006C0597" w:rsidRDefault="006C0597" w:rsidP="00C80D2E">
      <w:pPr>
        <w:pStyle w:val="ListBullet2"/>
      </w:pPr>
      <w:r w:rsidRPr="006C0597">
        <w:lastRenderedPageBreak/>
        <w:t>Circuit Capacity Data for U.S.-International Submarine Cables</w:t>
      </w:r>
      <w:r>
        <w:t xml:space="preserve">, </w:t>
      </w:r>
      <w:hyperlink r:id="rId28" w:history="1">
        <w:r>
          <w:rPr>
            <w:rStyle w:val="Hyperlink"/>
          </w:rPr>
          <w:t>Circuit Capacity Data for U.S.-International Submarine Cables | Federal Communications Commission (fcc.gov)</w:t>
        </w:r>
      </w:hyperlink>
    </w:p>
    <w:p w14:paraId="725A7953" w14:textId="4271ADC5" w:rsidR="001557B9" w:rsidRDefault="001557B9" w:rsidP="001557B9">
      <w:pPr>
        <w:pStyle w:val="ListBullet"/>
      </w:pPr>
      <w:r w:rsidRPr="001557B9">
        <w:t>Public Safety and Homeland Security Bureau (PSHSB)/Communications Security, Reliability and Interoperability Council (CSRIC)</w:t>
      </w:r>
    </w:p>
    <w:p w14:paraId="12C4E1C8" w14:textId="58C8D31A" w:rsidR="001557B9" w:rsidRDefault="007411B0" w:rsidP="001557B9">
      <w:pPr>
        <w:pStyle w:val="ListBullet2"/>
      </w:pPr>
      <w:r>
        <w:t xml:space="preserve">Working Group 8 Submarine Cable Routing and Landing, Final Report – Protection of Submarine Cables Through Spatial Separation, Dec. 2014, </w:t>
      </w:r>
      <w:hyperlink r:id="rId29" w:history="1">
        <w:r>
          <w:rPr>
            <w:rStyle w:val="Hyperlink"/>
          </w:rPr>
          <w:t>CSRIC_IV_WG8_Report1_3Dec2014.pdf (fcc.gov)</w:t>
        </w:r>
      </w:hyperlink>
    </w:p>
    <w:p w14:paraId="5BD73487" w14:textId="78B8B815" w:rsidR="005154E0" w:rsidRDefault="005154E0" w:rsidP="001557B9">
      <w:pPr>
        <w:pStyle w:val="ListBullet2"/>
      </w:pPr>
      <w:r>
        <w:t xml:space="preserve">Working Group 4A Submarine Cable Resiliency, Final Report – Interagency and Interjurisdictional Coordination, June 2016, </w:t>
      </w:r>
      <w:hyperlink r:id="rId30" w:history="1">
        <w:r>
          <w:rPr>
            <w:rStyle w:val="Hyperlink"/>
          </w:rPr>
          <w:t>WG4A_Report-Intergovernmental-Interjurisdictional-Coordination_June2016.pdf (fcc.gov)</w:t>
        </w:r>
      </w:hyperlink>
    </w:p>
    <w:p w14:paraId="451BBAA0" w14:textId="312914D3" w:rsidR="005154E0" w:rsidRDefault="00E929D8" w:rsidP="001557B9">
      <w:pPr>
        <w:pStyle w:val="ListBullet2"/>
      </w:pPr>
      <w:r>
        <w:t xml:space="preserve">Working Group 4A Submarine Cable Resiliency, Final Report – Clustering of Cables and Cable Landings, </w:t>
      </w:r>
      <w:hyperlink r:id="rId31" w:history="1">
        <w:r>
          <w:rPr>
            <w:rStyle w:val="Hyperlink"/>
          </w:rPr>
          <w:t>WG4A_Final_091416.pdf (fcc.gov)</w:t>
        </w:r>
      </w:hyperlink>
    </w:p>
    <w:p w14:paraId="1219E88C" w14:textId="31F61EC1" w:rsidR="003C6005" w:rsidRDefault="003C6005" w:rsidP="003C6005">
      <w:pPr>
        <w:pStyle w:val="ListBullet"/>
      </w:pPr>
      <w:r w:rsidRPr="003C6005">
        <w:t>U.S. Department of the Interior, Bureau of Ocean Energy Management (BOEM)</w:t>
      </w:r>
      <w:r w:rsidR="00FA11A6">
        <w:t xml:space="preserve">, </w:t>
      </w:r>
      <w:hyperlink r:id="rId32" w:history="1">
        <w:r w:rsidR="00FA11A6">
          <w:rPr>
            <w:rStyle w:val="Hyperlink"/>
          </w:rPr>
          <w:t>BOEM Homepage | Bureau of Ocean Energy Management</w:t>
        </w:r>
      </w:hyperlink>
    </w:p>
    <w:p w14:paraId="36630A08" w14:textId="338E639A" w:rsidR="00875E53" w:rsidRPr="00875E53" w:rsidRDefault="003024F7" w:rsidP="00875E53">
      <w:pPr>
        <w:pStyle w:val="ListBullet2"/>
        <w:rPr>
          <w:lang w:val="fr-CA" w:eastAsia="fr-CA"/>
        </w:rPr>
      </w:pPr>
      <w:r w:rsidRPr="003024F7">
        <w:rPr>
          <w:lang w:val="fr-CA" w:eastAsia="fr-CA"/>
        </w:rPr>
        <w:t>Fishing and Offshore Renewable Energy Frequently Asked Questions</w:t>
      </w:r>
      <w:r w:rsidR="00E13E60">
        <w:rPr>
          <w:lang w:val="fr-CA" w:eastAsia="fr-CA"/>
        </w:rPr>
        <w:t xml:space="preserve">, </w:t>
      </w:r>
      <w:hyperlink r:id="rId33" w:history="1">
        <w:r w:rsidR="00E13E60">
          <w:rPr>
            <w:rStyle w:val="Hyperlink"/>
          </w:rPr>
          <w:t>Fishing and Offshore Renewable Energy Frequently Asked Questions | Bureau of Ocean Energy Management (boem.gov)</w:t>
        </w:r>
      </w:hyperlink>
    </w:p>
    <w:p w14:paraId="53D83DA3" w14:textId="1B9C3820" w:rsidR="00875E53" w:rsidRDefault="002F29C5" w:rsidP="00875E53">
      <w:pPr>
        <w:pStyle w:val="ListBullet2"/>
      </w:pPr>
      <w:r>
        <w:t xml:space="preserve">Renewable Energy, Regulatory Framework and Guidelines, </w:t>
      </w:r>
      <w:hyperlink r:id="rId34" w:history="1">
        <w:r w:rsidR="003306A0">
          <w:rPr>
            <w:rStyle w:val="Hyperlink"/>
          </w:rPr>
          <w:t>Regulatory Framework and Guidelines | Bureau of Ocean Energy Management (boem.gov)</w:t>
        </w:r>
      </w:hyperlink>
    </w:p>
    <w:p w14:paraId="4E0AE110" w14:textId="2F58F345" w:rsidR="000D728C" w:rsidRDefault="000D728C" w:rsidP="00875E53">
      <w:pPr>
        <w:pStyle w:val="ListBullet2"/>
      </w:pPr>
      <w:r>
        <w:t xml:space="preserve">Renewable Energy, </w:t>
      </w:r>
      <w:r w:rsidR="00C73295" w:rsidRPr="00C73295">
        <w:t>Survey Guidelines For Renewable Energy Development</w:t>
      </w:r>
      <w:r w:rsidR="00C73295">
        <w:t xml:space="preserve">, </w:t>
      </w:r>
      <w:hyperlink r:id="rId35" w:history="1">
        <w:r w:rsidR="00C73295">
          <w:rPr>
            <w:rStyle w:val="Hyperlink"/>
          </w:rPr>
          <w:t>Survey Guidelines For Renewable Energy Development | Bureau of Ocean Energy Management (boem.gov)</w:t>
        </w:r>
      </w:hyperlink>
    </w:p>
    <w:p w14:paraId="6D1815DC" w14:textId="622DA87E" w:rsidR="00FF4FAD" w:rsidRDefault="00FF4FAD" w:rsidP="00FF4FAD">
      <w:pPr>
        <w:pStyle w:val="ListBullet2"/>
      </w:pPr>
      <w:r>
        <w:t>Information Guidelines for a Renewable Energy Construction and Operations Plan (COP)</w:t>
      </w:r>
      <w:r w:rsidR="002B3725">
        <w:t xml:space="preserve">, May 2020, </w:t>
      </w:r>
      <w:hyperlink r:id="rId36" w:history="1">
        <w:r w:rsidR="002B3725">
          <w:rPr>
            <w:rStyle w:val="Hyperlink"/>
          </w:rPr>
          <w:t>Information Guidelines for a Renewable Energy Construction and Operations Plan (boem.gov)</w:t>
        </w:r>
      </w:hyperlink>
    </w:p>
    <w:p w14:paraId="370C697C" w14:textId="30AB8CEA" w:rsidR="00A16E58" w:rsidRDefault="00817D30" w:rsidP="00FF4FAD">
      <w:pPr>
        <w:pStyle w:val="ListBullet2"/>
      </w:pPr>
      <w:r>
        <w:t xml:space="preserve">Development of Mitigation Measures to Address Potential Use Conflicts between Commercial Wind Energy Lessees/Grantees and Commercial Fishermen on the Atlantic Outer Continental Shelf: Report on Best Management Practices and Mitigation Measures, July 2014, </w:t>
      </w:r>
      <w:hyperlink r:id="rId37" w:history="1">
        <w:r w:rsidR="00A16E58">
          <w:rPr>
            <w:rStyle w:val="Hyperlink"/>
          </w:rPr>
          <w:t>Fishing-BMP-Final-Report-July-2014.pdf (boem.gov)</w:t>
        </w:r>
      </w:hyperlink>
    </w:p>
    <w:p w14:paraId="33322775" w14:textId="1C1E36BA" w:rsidR="00844C8B" w:rsidRDefault="00844C8B" w:rsidP="00FF4FAD">
      <w:pPr>
        <w:pStyle w:val="ListBullet2"/>
      </w:pPr>
      <w:r>
        <w:lastRenderedPageBreak/>
        <w:t>Observing Cable Laying and Particle Settlement During the Construction of the Block Island Wind Farm. BOEM OCS Study 2017-027 pursuant to Contract No. M15PC00002</w:t>
      </w:r>
      <w:r w:rsidR="00675CD6">
        <w:t>, March 2017,</w:t>
      </w:r>
      <w:r>
        <w:t xml:space="preserve"> </w:t>
      </w:r>
      <w:hyperlink r:id="rId38" w:history="1">
        <w:r w:rsidR="00C47487">
          <w:rPr>
            <w:rStyle w:val="Hyperlink"/>
          </w:rPr>
          <w:t>5596.pdf (boem.gov)</w:t>
        </w:r>
      </w:hyperlink>
    </w:p>
    <w:p w14:paraId="7B81D89E" w14:textId="50F4380A" w:rsidR="00912E31" w:rsidRDefault="00912E31" w:rsidP="00FF4FAD">
      <w:pPr>
        <w:pStyle w:val="ListBullet2"/>
      </w:pPr>
      <w:r>
        <w:t xml:space="preserve">ICF. 2020. Comparison of Environmental Effects from Different Offshore Wind Turbine Foundations. U.S. Dept of the Interior, Bureau of Ocean Energy Management: Sterling, VA. </w:t>
      </w:r>
      <w:hyperlink r:id="rId39" w:history="1">
        <w:r w:rsidR="00213704">
          <w:rPr>
            <w:rStyle w:val="Hyperlink"/>
          </w:rPr>
          <w:t>Comparison of Environmental Effects from Different Offshore Wind Turbine Foundations (boem.gov)</w:t>
        </w:r>
      </w:hyperlink>
    </w:p>
    <w:p w14:paraId="18E5E416" w14:textId="6F8AA51F" w:rsidR="00734192" w:rsidRDefault="00734192" w:rsidP="00FF4FAD">
      <w:pPr>
        <w:pStyle w:val="ListBullet2"/>
      </w:pPr>
      <w:r>
        <w:t xml:space="preserve">Normandeau Associates, Inc., Exponent, Inc., T. Tricas, and A. Gill. 2011. Effects of EMFs from Undersea Power Cables on Elasmobranchs and Other Marine Species. U.S. Depth. Of the Interior, Bureau of Ocean Energy Management. OCS Study BOEM 2011-09. </w:t>
      </w:r>
      <w:hyperlink r:id="rId40" w:history="1">
        <w:r w:rsidRPr="000C11A1">
          <w:rPr>
            <w:rStyle w:val="Hyperlink"/>
          </w:rPr>
          <w:t>https://espis.boem.gov/final%20reports/5115.pdf</w:t>
        </w:r>
      </w:hyperlink>
    </w:p>
    <w:p w14:paraId="358CFEEB" w14:textId="7C0AD48F" w:rsidR="00B61397" w:rsidRDefault="00B61397" w:rsidP="00B61397">
      <w:pPr>
        <w:pStyle w:val="ListBullet2"/>
      </w:pPr>
      <w:r>
        <w:t xml:space="preserve">Snyder, D., W. Bailey, K. Palmquist, B. Cotts, and K. Olsen. 2019. Evaluation of Potential EMF Effects on Fish Species of Commercial or Recreational Fishing Importance in Southern New England. U.S. Dept. of the Interior, Bureau of Ocean Energy Management. OCS Study BOEM 2019-049. </w:t>
      </w:r>
      <w:hyperlink r:id="rId41" w:history="1">
        <w:r>
          <w:rPr>
            <w:rStyle w:val="Hyperlink"/>
          </w:rPr>
          <w:t>Evaluation of Potential EMF Effects on Fish Species of Commercial or Recreational Fishing Importance in Southern New England (pnnl.gov)</w:t>
        </w:r>
      </w:hyperlink>
    </w:p>
    <w:p w14:paraId="3FFCF104" w14:textId="23837B0F" w:rsidR="006737B9" w:rsidRDefault="006737B9" w:rsidP="00811F49">
      <w:pPr>
        <w:pStyle w:val="ListBullet"/>
      </w:pPr>
      <w:r>
        <w:t xml:space="preserve">U.S. </w:t>
      </w:r>
      <w:r w:rsidR="002A7C1F">
        <w:t>Department of Interior Bureau</w:t>
      </w:r>
      <w:r w:rsidR="004B3B1E">
        <w:t xml:space="preserve"> </w:t>
      </w:r>
      <w:r w:rsidR="002A7C1F">
        <w:t>of Safety and Environmental Enforcement</w:t>
      </w:r>
    </w:p>
    <w:p w14:paraId="49635CA6" w14:textId="6570F95A" w:rsidR="002A7C1F" w:rsidRDefault="00C84106" w:rsidP="006866AD">
      <w:pPr>
        <w:pStyle w:val="ListBullet2"/>
      </w:pPr>
      <w:r w:rsidRPr="00C84106">
        <w:t>Offshore Wind Submarine Cable Spacing Guidance</w:t>
      </w:r>
      <w:r>
        <w:t xml:space="preserve">, </w:t>
      </w:r>
      <w:hyperlink r:id="rId42" w:history="1">
        <w:r w:rsidR="003024F7" w:rsidRPr="000C11A1">
          <w:rPr>
            <w:rStyle w:val="Hyperlink"/>
          </w:rPr>
          <w:t>https://www.bsee.gov/sites/bsee.gov/files/tap-technical-assessment-program/722aa.pdf</w:t>
        </w:r>
      </w:hyperlink>
    </w:p>
    <w:p w14:paraId="52024B31" w14:textId="4AAE7605" w:rsidR="00D3763D" w:rsidRDefault="00D3763D" w:rsidP="006866AD">
      <w:pPr>
        <w:pStyle w:val="ListBullet2"/>
      </w:pPr>
      <w:r>
        <w:t xml:space="preserve">Sharples, M. 2011. Offshore Electrical Cable Burial for Wind Farms: State of the Art, Standards and Guidance and Acceptable Burial Depths, Separation Distances and Sand Wave Effect. Bureau of Ocean Energy Management. </w:t>
      </w:r>
      <w:hyperlink r:id="rId43" w:history="1">
        <w:r>
          <w:rPr>
            <w:rStyle w:val="Hyperlink"/>
          </w:rPr>
          <w:t>https://www.bsee.gov/sites/bsee.gov/files/tap-technical-assessment-program/final-report-offshore-electrical-cable-burial-for-wind-farms.pdf (bsee.gov)</w:t>
        </w:r>
      </w:hyperlink>
    </w:p>
    <w:p w14:paraId="0DED32BE" w14:textId="373BC466" w:rsidR="00D9448C" w:rsidRDefault="00D9448C" w:rsidP="00811F49">
      <w:pPr>
        <w:pStyle w:val="ListBullet"/>
      </w:pPr>
      <w:r>
        <w:t>U.S. Department of Energy</w:t>
      </w:r>
      <w:r w:rsidR="00C11D16">
        <w:t xml:space="preserve"> Office of Energy Efficiency &amp; Renewable Energy</w:t>
      </w:r>
    </w:p>
    <w:p w14:paraId="796EC19B" w14:textId="6D2AD19B" w:rsidR="00D41FC2" w:rsidRDefault="00214859" w:rsidP="00A05197">
      <w:pPr>
        <w:pStyle w:val="ListBullet2"/>
      </w:pPr>
      <w:r>
        <w:t xml:space="preserve">Best, B., Kilcher, L., </w:t>
      </w:r>
      <w:r w:rsidR="00B96AD2">
        <w:t>Submarine Cable Analysis for U.S. Marine Renewable Energy Development</w:t>
      </w:r>
      <w:r w:rsidR="000E45F2">
        <w:t xml:space="preserve">, </w:t>
      </w:r>
      <w:r w:rsidR="00B458EE">
        <w:t xml:space="preserve">National Renewable Energy Laboratory, Technicpa Report NREL/TP-5000-71125, </w:t>
      </w:r>
      <w:r w:rsidR="00B96AD2">
        <w:t xml:space="preserve">November 2019 </w:t>
      </w:r>
      <w:r w:rsidR="00D0402D">
        <w:t>NREL</w:t>
      </w:r>
      <w:r w:rsidR="00B458EE">
        <w:t xml:space="preserve">, </w:t>
      </w:r>
      <w:hyperlink r:id="rId44" w:history="1">
        <w:r w:rsidR="00B458EE">
          <w:rPr>
            <w:rStyle w:val="Hyperlink"/>
          </w:rPr>
          <w:t>Submarine Cable Analysis for US Marine Renewable Energy Development (nrel.gov)</w:t>
        </w:r>
      </w:hyperlink>
    </w:p>
    <w:p w14:paraId="121EB987" w14:textId="190895FD" w:rsidR="00E76392" w:rsidRDefault="003D37AB" w:rsidP="00A05197">
      <w:pPr>
        <w:pStyle w:val="ListBullet2"/>
      </w:pPr>
      <w:r w:rsidRPr="003D37AB">
        <w:lastRenderedPageBreak/>
        <w:t>Manhar</w:t>
      </w:r>
      <w:r w:rsidR="0078774E">
        <w:t>, D.</w:t>
      </w:r>
      <w:r w:rsidR="00AF56F0">
        <w:t xml:space="preserve">, </w:t>
      </w:r>
      <w:r w:rsidR="004A12AC">
        <w:t>Effects of EMF Emissions from Cables and Junction Boxes on Marine Species</w:t>
      </w:r>
      <w:r w:rsidR="00D97532">
        <w:t xml:space="preserve">, </w:t>
      </w:r>
      <w:hyperlink r:id="rId45" w:history="1">
        <w:r w:rsidR="00E31F72">
          <w:rPr>
            <w:rStyle w:val="Hyperlink"/>
          </w:rPr>
          <w:t>Effects of EMF Emissions from Cables and Junction Boxes on Marine Species (energy.gov)</w:t>
        </w:r>
      </w:hyperlink>
    </w:p>
    <w:p w14:paraId="05B4A520" w14:textId="78A5DBC6" w:rsidR="00811F49" w:rsidRPr="00811F49" w:rsidRDefault="00811F49" w:rsidP="00811F49">
      <w:pPr>
        <w:pStyle w:val="ListBullet"/>
      </w:pPr>
      <w:r w:rsidRPr="00811F49">
        <w:t>Federal Energy Regulatory Commission (FERC)</w:t>
      </w:r>
      <w:r w:rsidR="004934C0">
        <w:t xml:space="preserve">, </w:t>
      </w:r>
      <w:hyperlink r:id="rId46" w:history="1">
        <w:r w:rsidR="004934C0">
          <w:rPr>
            <w:rStyle w:val="Hyperlink"/>
          </w:rPr>
          <w:t>Home Page | Federal Energy Regulatory Commission (ferc.gov)</w:t>
        </w:r>
      </w:hyperlink>
    </w:p>
    <w:p w14:paraId="045D0C18" w14:textId="139D0630" w:rsidR="00811F49" w:rsidRPr="00302D3E" w:rsidRDefault="00811F49" w:rsidP="00811F49">
      <w:pPr>
        <w:pStyle w:val="ListBullet"/>
        <w:rPr>
          <w:rStyle w:val="Hyperlink"/>
          <w:color w:val="auto"/>
          <w:u w:val="none"/>
        </w:rPr>
      </w:pPr>
      <w:r>
        <w:t>U.S. Department of Commerce, National Oceanic and Atmospheric Administration (NOAA)</w:t>
      </w:r>
      <w:r w:rsidR="00C02B38">
        <w:t xml:space="preserve">, </w:t>
      </w:r>
      <w:hyperlink r:id="rId47" w:history="1">
        <w:r w:rsidR="00C02B38">
          <w:rPr>
            <w:rStyle w:val="Hyperlink"/>
          </w:rPr>
          <w:t>Submarine Cables | National Oceanic and Atmospheric Administration (noaa.gov)</w:t>
        </w:r>
      </w:hyperlink>
    </w:p>
    <w:p w14:paraId="520F11A2" w14:textId="22EB3C50" w:rsidR="00302D3E" w:rsidRPr="00811F49" w:rsidRDefault="006E0A7A" w:rsidP="00302D3E">
      <w:pPr>
        <w:pStyle w:val="ListBullet2"/>
      </w:pPr>
      <w:r>
        <w:t xml:space="preserve">NOAA, Submarine Cables – Domestic Regulation, </w:t>
      </w:r>
      <w:hyperlink r:id="rId48" w:history="1">
        <w:r w:rsidR="00302D3E">
          <w:rPr>
            <w:rStyle w:val="Hyperlink"/>
          </w:rPr>
          <w:t>Submarine Cables - Domestic Regulation | National Oceanic and Atmospheric Administration (noaa.gov)</w:t>
        </w:r>
      </w:hyperlink>
    </w:p>
    <w:p w14:paraId="7249C76E" w14:textId="5C70693A" w:rsidR="00E929D8" w:rsidRDefault="00811F49" w:rsidP="003B2304">
      <w:pPr>
        <w:pStyle w:val="ListBullet"/>
      </w:pPr>
      <w:r>
        <w:t xml:space="preserve">U.S. Department of Defense, U.S. </w:t>
      </w:r>
      <w:r w:rsidR="00240F71">
        <w:t>A</w:t>
      </w:r>
      <w:r>
        <w:t>rmy Corps of Engineers (Army Corps)</w:t>
      </w:r>
      <w:r w:rsidR="00A04ADB">
        <w:t xml:space="preserve">, Regulatory Program and Permits, </w:t>
      </w:r>
      <w:hyperlink r:id="rId49" w:history="1">
        <w:r w:rsidR="00A04ADB">
          <w:rPr>
            <w:rStyle w:val="Hyperlink"/>
          </w:rPr>
          <w:t>Civil Works Regulatory Program and Permits (army.mil)</w:t>
        </w:r>
      </w:hyperlink>
      <w:r>
        <w:t xml:space="preserve"> </w:t>
      </w:r>
    </w:p>
    <w:p w14:paraId="4BF6D6AC" w14:textId="2378C6AD" w:rsidR="007B7DBB" w:rsidRDefault="00734D51" w:rsidP="007B7DBB">
      <w:pPr>
        <w:pStyle w:val="ListBullet"/>
        <w:numPr>
          <w:ilvl w:val="0"/>
          <w:numId w:val="0"/>
        </w:numPr>
        <w:ind w:left="425" w:hanging="425"/>
      </w:pPr>
      <w:r w:rsidRPr="00040B67">
        <w:rPr>
          <w:color w:val="48635A" w:themeColor="accent2" w:themeShade="80"/>
          <w:sz w:val="22"/>
          <w:szCs w:val="22"/>
        </w:rPr>
        <w:t>United States Undersea Cable Mapping Sources:</w:t>
      </w:r>
    </w:p>
    <w:p w14:paraId="73A343A6" w14:textId="52DCC163" w:rsidR="00734D51" w:rsidRDefault="00734D51" w:rsidP="00734D51">
      <w:pPr>
        <w:pStyle w:val="ListBullet"/>
      </w:pPr>
      <w:r>
        <w:t>U.S. Navy</w:t>
      </w:r>
      <w:r w:rsidR="001330DD">
        <w:t>,</w:t>
      </w:r>
      <w:r w:rsidR="001330DD" w:rsidRPr="001330DD">
        <w:t xml:space="preserve"> Naval Seafloor Cable Protection Office</w:t>
      </w:r>
      <w:r w:rsidR="007C20F7">
        <w:t xml:space="preserve">, </w:t>
      </w:r>
      <w:hyperlink r:id="rId50" w:history="1">
        <w:r w:rsidR="007C20F7">
          <w:rPr>
            <w:rStyle w:val="Hyperlink"/>
          </w:rPr>
          <w:t>Naval Sea Floor Cable Protection Office (navy.mil)</w:t>
        </w:r>
      </w:hyperlink>
    </w:p>
    <w:p w14:paraId="4EE836D9" w14:textId="4272D1BD" w:rsidR="00734D51" w:rsidRDefault="00734D51" w:rsidP="00734D51">
      <w:pPr>
        <w:pStyle w:val="ListBullet"/>
      </w:pPr>
      <w:r>
        <w:t>Marine Cadastre</w:t>
      </w:r>
      <w:r w:rsidR="006B7424">
        <w:t xml:space="preserve">, </w:t>
      </w:r>
      <w:hyperlink r:id="rId51" w:history="1">
        <w:r w:rsidR="006B7424" w:rsidRPr="000C11A1">
          <w:rPr>
            <w:rStyle w:val="Hyperlink"/>
          </w:rPr>
          <w:t>https://marinecadastre.gov/</w:t>
        </w:r>
      </w:hyperlink>
    </w:p>
    <w:p w14:paraId="10355E8C" w14:textId="6D43A07D" w:rsidR="00734D51" w:rsidRDefault="00F7053B" w:rsidP="00734D51">
      <w:pPr>
        <w:pStyle w:val="ListBullet"/>
      </w:pPr>
      <w:r>
        <w:t>North American Submarine Cable Association (</w:t>
      </w:r>
      <w:r w:rsidR="00734D51">
        <w:t>NASCA</w:t>
      </w:r>
      <w:r>
        <w:t xml:space="preserve">), </w:t>
      </w:r>
      <w:hyperlink r:id="rId52" w:history="1">
        <w:r>
          <w:rPr>
            <w:rStyle w:val="Hyperlink"/>
          </w:rPr>
          <w:t>Cable Maps - NASCA (n-a-s-c-a.org)</w:t>
        </w:r>
      </w:hyperlink>
    </w:p>
    <w:p w14:paraId="5EFC2AFA" w14:textId="179F6E97" w:rsidR="00D8732A" w:rsidRDefault="007504F9" w:rsidP="00734D51">
      <w:pPr>
        <w:pStyle w:val="ListBullet"/>
      </w:pPr>
      <w:r>
        <w:t>National Oceanic and Atmospheric Administration (</w:t>
      </w:r>
      <w:r w:rsidR="00547658">
        <w:t>NOAA</w:t>
      </w:r>
      <w:r>
        <w:t>)</w:t>
      </w:r>
      <w:r w:rsidR="00547658">
        <w:t xml:space="preserve">, </w:t>
      </w:r>
      <w:hyperlink r:id="rId53" w:history="1">
        <w:r w:rsidR="00547658">
          <w:rPr>
            <w:rStyle w:val="Hyperlink"/>
          </w:rPr>
          <w:t>NOAA Charted Submarine Cables | InPort</w:t>
        </w:r>
      </w:hyperlink>
    </w:p>
    <w:p w14:paraId="5B6AADE7" w14:textId="370FF204" w:rsidR="004C7331" w:rsidRDefault="004C7331" w:rsidP="003B2304">
      <w:pPr>
        <w:pStyle w:val="ListBullet"/>
      </w:pPr>
      <w:r>
        <w:t>NOAA Fisheries. 2020a. 2019 Commercial</w:t>
      </w:r>
      <w:r w:rsidR="0008699D">
        <w:t xml:space="preserve"> &amp; Recreational</w:t>
      </w:r>
      <w:r>
        <w:t xml:space="preserve"> Landings: New York. Available online at: </w:t>
      </w:r>
      <w:hyperlink r:id="rId54" w:history="1">
        <w:r w:rsidR="004F5886">
          <w:rPr>
            <w:rStyle w:val="Hyperlink"/>
          </w:rPr>
          <w:t>HOME (noaa.gov)</w:t>
        </w:r>
      </w:hyperlink>
    </w:p>
    <w:p w14:paraId="38D95160" w14:textId="77777777" w:rsidR="007B7DBB" w:rsidRDefault="007B7DBB" w:rsidP="007B7DBB">
      <w:pPr>
        <w:pStyle w:val="ListBullet"/>
        <w:numPr>
          <w:ilvl w:val="0"/>
          <w:numId w:val="0"/>
        </w:numPr>
        <w:ind w:left="425" w:hanging="425"/>
      </w:pPr>
      <w:r w:rsidRPr="00040B67">
        <w:rPr>
          <w:color w:val="48635A" w:themeColor="accent2" w:themeShade="80"/>
          <w:sz w:val="22"/>
          <w:szCs w:val="22"/>
        </w:rPr>
        <w:t>Additional References and Information:</w:t>
      </w:r>
    </w:p>
    <w:p w14:paraId="1B7CEC5B" w14:textId="61C53355" w:rsidR="00A26FB4" w:rsidRDefault="00A26FB4" w:rsidP="004B2409">
      <w:pPr>
        <w:pStyle w:val="ListBullet"/>
      </w:pPr>
      <w:r>
        <w:t xml:space="preserve">Seaway Offshore Cables video, </w:t>
      </w:r>
      <w:hyperlink r:id="rId55" w:history="1">
        <w:r>
          <w:rPr>
            <w:rStyle w:val="Hyperlink"/>
          </w:rPr>
          <w:t>Submarine Cable Installation Works on Nordsee One OWF - YouTube</w:t>
        </w:r>
      </w:hyperlink>
    </w:p>
    <w:p w14:paraId="2C5123BE" w14:textId="3D6A6D55" w:rsidR="00F54967" w:rsidRDefault="00F54967" w:rsidP="004B2409">
      <w:pPr>
        <w:pStyle w:val="ListBullet"/>
      </w:pPr>
      <w:r>
        <w:t>Boskalis</w:t>
      </w:r>
      <w:r w:rsidR="00D7540A">
        <w:t xml:space="preserve"> subsea cable installation videos, </w:t>
      </w:r>
      <w:hyperlink r:id="rId56" w:history="1">
        <w:r w:rsidR="00D7540A">
          <w:rPr>
            <w:rStyle w:val="Hyperlink"/>
          </w:rPr>
          <w:t>Subsea cable installation | Boskalis</w:t>
        </w:r>
      </w:hyperlink>
    </w:p>
    <w:p w14:paraId="74539469" w14:textId="3CF20907" w:rsidR="00BE2254" w:rsidRDefault="00BE2254" w:rsidP="004B2409">
      <w:pPr>
        <w:pStyle w:val="ListBullet"/>
      </w:pPr>
      <w:r>
        <w:lastRenderedPageBreak/>
        <w:t xml:space="preserve">Nexans Aurora </w:t>
      </w:r>
      <w:r w:rsidR="00C61521">
        <w:t xml:space="preserve">Subsea Cable Installation </w:t>
      </w:r>
      <w:r w:rsidR="00F7498D">
        <w:t xml:space="preserve">Vessel video, </w:t>
      </w:r>
      <w:hyperlink r:id="rId57" w:history="1">
        <w:r w:rsidR="00F7498D">
          <w:rPr>
            <w:rStyle w:val="Hyperlink"/>
          </w:rPr>
          <w:t>Meet Nexans Aurora! - YouTube</w:t>
        </w:r>
      </w:hyperlink>
    </w:p>
    <w:p w14:paraId="550C3476" w14:textId="5F98F005" w:rsidR="00E82915" w:rsidRDefault="00E82915" w:rsidP="004B2409">
      <w:pPr>
        <w:pStyle w:val="ListBullet"/>
      </w:pPr>
      <w:r>
        <w:t xml:space="preserve">Prysmian Group </w:t>
      </w:r>
      <w:r w:rsidR="004524F8">
        <w:t>Installation Capabilities – Hydroplow video</w:t>
      </w:r>
      <w:r w:rsidR="00694E78">
        <w:t xml:space="preserve">, </w:t>
      </w:r>
      <w:hyperlink r:id="rId58" w:history="1">
        <w:r w:rsidR="00694E78">
          <w:rPr>
            <w:rStyle w:val="Hyperlink"/>
          </w:rPr>
          <w:t>Prysmian Group Installation Capabilities - Hydroplow - YouTube</w:t>
        </w:r>
      </w:hyperlink>
    </w:p>
    <w:p w14:paraId="394F010B" w14:textId="685EE5A3" w:rsidR="0054383A" w:rsidRDefault="0054383A" w:rsidP="004B2409">
      <w:pPr>
        <w:pStyle w:val="ListBullet"/>
      </w:pPr>
      <w:r>
        <w:t xml:space="preserve">Royal Institution of Naval Architects, Cable Installation - </w:t>
      </w:r>
      <w:r w:rsidRPr="002F5A18">
        <w:t>Risk Identification from Vessel Selection to Cable Laying and Burial</w:t>
      </w:r>
      <w:r>
        <w:t xml:space="preserve">, AqualisBraemar LOC, </w:t>
      </w:r>
      <w:hyperlink r:id="rId59" w:history="1">
        <w:r>
          <w:rPr>
            <w:rStyle w:val="Hyperlink"/>
          </w:rPr>
          <w:t>Cable installation - Risk Identification from Vessel Selection to Cable Laying and Burial - YouTube</w:t>
        </w:r>
      </w:hyperlink>
    </w:p>
    <w:p w14:paraId="2DF00F00" w14:textId="6904B2FD" w:rsidR="004B2409" w:rsidRDefault="0096099B" w:rsidP="004B2409">
      <w:pPr>
        <w:pStyle w:val="ListBullet"/>
      </w:pPr>
      <w:r w:rsidRPr="00D32EB2">
        <w:t>SIG Cables</w:t>
      </w:r>
      <w:r>
        <w:t xml:space="preserve">, </w:t>
      </w:r>
      <w:hyperlink r:id="rId60" w:history="1">
        <w:r>
          <w:rPr>
            <w:rStyle w:val="Hyperlink"/>
          </w:rPr>
          <w:t>SIGCables</w:t>
        </w:r>
      </w:hyperlink>
    </w:p>
    <w:p w14:paraId="6F71AF87" w14:textId="598478D6" w:rsidR="000C019D" w:rsidRDefault="00EE17A8" w:rsidP="004B2409">
      <w:pPr>
        <w:pStyle w:val="ListBullet"/>
      </w:pPr>
      <w:r w:rsidRPr="00EE17A8">
        <w:t>Kingfisher Information Service</w:t>
      </w:r>
      <w:r>
        <w:t xml:space="preserve">, </w:t>
      </w:r>
      <w:hyperlink r:id="rId61" w:history="1">
        <w:r w:rsidR="000C019D">
          <w:rPr>
            <w:rStyle w:val="Hyperlink"/>
          </w:rPr>
          <w:t>Homepage | KIS-ORCA</w:t>
        </w:r>
      </w:hyperlink>
    </w:p>
    <w:p w14:paraId="151C1E4E" w14:textId="7BAC3013" w:rsidR="00C40B11" w:rsidRDefault="00C40B11" w:rsidP="004B2409">
      <w:pPr>
        <w:pStyle w:val="ListBullet"/>
      </w:pPr>
      <w:r>
        <w:t xml:space="preserve">TeleGeography, Submarine Fibre Optic Cable Map, </w:t>
      </w:r>
      <w:hyperlink r:id="rId62" w:history="1">
        <w:r>
          <w:rPr>
            <w:rStyle w:val="Hyperlink"/>
          </w:rPr>
          <w:t>Submarine Cable Map</w:t>
        </w:r>
      </w:hyperlink>
    </w:p>
    <w:p w14:paraId="1BC87E12" w14:textId="4F98319E" w:rsidR="00CB222D" w:rsidRDefault="000023B7" w:rsidP="004B2409">
      <w:pPr>
        <w:pStyle w:val="ListBullet"/>
      </w:pPr>
      <w:r>
        <w:t xml:space="preserve">Brake, D. 2019. Submarine Cables: Critical Infrastructure for Global Communications. Prepared for the Information Technology and Innovation Foundation. Available online at: </w:t>
      </w:r>
      <w:hyperlink r:id="rId63" w:history="1">
        <w:r w:rsidR="00CB222D">
          <w:rPr>
            <w:rStyle w:val="Hyperlink"/>
          </w:rPr>
          <w:t>2019-submarine-cables.pdf (itif.org)</w:t>
        </w:r>
      </w:hyperlink>
    </w:p>
    <w:p w14:paraId="62462BC6" w14:textId="46BFD900" w:rsidR="00B50927" w:rsidRDefault="00B50927" w:rsidP="004B2409">
      <w:pPr>
        <w:pStyle w:val="ListBullet"/>
      </w:pPr>
      <w:r>
        <w:t xml:space="preserve">CMACS. 2003. A Baseline Assessment of Electromagnetic Fields Generated by Offshore Windfarm Cables. Final Report prepared by University of Liverpool and ECONNECT Ltd. </w:t>
      </w:r>
      <w:hyperlink r:id="rId64" w:history="1">
        <w:r w:rsidR="006511B5">
          <w:rPr>
            <w:rStyle w:val="Hyperlink"/>
          </w:rPr>
          <w:t>A Baseline Assessment of Electromagnetic Fields Generated by Offshore Windfarm Cables (pnnl.gov)</w:t>
        </w:r>
      </w:hyperlink>
    </w:p>
    <w:p w14:paraId="6016DE71" w14:textId="5E8986F2" w:rsidR="006511B5" w:rsidRDefault="002C7B65" w:rsidP="004B2409">
      <w:pPr>
        <w:pStyle w:val="ListBullet"/>
      </w:pPr>
      <w:r>
        <w:t xml:space="preserve">Drew, S., and A. Hopper. 2009. Fishing and Submarine Cables: Working Together. Second Edition. Prepared by the International Cable Protection Committee (ICPC). Available online at: </w:t>
      </w:r>
      <w:hyperlink r:id="rId65" w:history="1">
        <w:r>
          <w:rPr>
            <w:rStyle w:val="Hyperlink"/>
          </w:rPr>
          <w:t>ICPC_Fishing_Booklet_Rev_2.pdf</w:t>
        </w:r>
      </w:hyperlink>
    </w:p>
    <w:p w14:paraId="741BA434" w14:textId="4EC9FE55" w:rsidR="00446284" w:rsidRDefault="00446284" w:rsidP="004B2409">
      <w:pPr>
        <w:pStyle w:val="ListBullet"/>
      </w:pPr>
      <w:r>
        <w:t>Gill, A., and M. Desender. 2020. State of the Science Report – Chapter 5: Risks to Animals from Electromagnetic Fields Emitted by Electric Cables and Marine Renewable Energy Devices. In. A. Copping and L. Hemery (eds.), OES-Environmental 2020 State of the Science Report: Environmental Effects of Marine Renewable Energy Development Around the World. Report for Ocean Energy Systems</w:t>
      </w:r>
      <w:r w:rsidR="00132DD4">
        <w:t>, 2020,</w:t>
      </w:r>
      <w:r>
        <w:t xml:space="preserve"> </w:t>
      </w:r>
      <w:hyperlink r:id="rId66" w:history="1">
        <w:r w:rsidR="00132DD4">
          <w:rPr>
            <w:rStyle w:val="Hyperlink"/>
          </w:rPr>
          <w:t>2020 State of the Science Report - Chapter 5: Risk to Animals from Electromagnetic Fields Emitted by Electric Cables and Marine Renewable Energy Devices | Tethys (pnnl.gov)</w:t>
        </w:r>
      </w:hyperlink>
    </w:p>
    <w:p w14:paraId="367114E3" w14:textId="7CDBC2CB" w:rsidR="00213704" w:rsidRDefault="00213704" w:rsidP="004B2409">
      <w:pPr>
        <w:pStyle w:val="ListBullet"/>
      </w:pPr>
      <w:r>
        <w:t xml:space="preserve">Kogan, I., C. Paull, L. Kuhnz, E. Burton, S. von Thun, H. Greene, and J. Barry. 2003. Environmental Impact of the ATOC/Pioneer Seamount Submarine Cable. Prepared by MBARI/Monterey Bay National Marine Sanctuary. </w:t>
      </w:r>
      <w:hyperlink r:id="rId67" w:history="1">
        <w:r w:rsidR="00DF2D18">
          <w:rPr>
            <w:rStyle w:val="Hyperlink"/>
          </w:rPr>
          <w:t>Microsoft Word - ATOC cable survey_v4_NOV.doc (windows.net)</w:t>
        </w:r>
      </w:hyperlink>
    </w:p>
    <w:p w14:paraId="5962A846" w14:textId="1E9CEA44" w:rsidR="00C170D4" w:rsidRDefault="0036493F" w:rsidP="00C170D4">
      <w:pPr>
        <w:pStyle w:val="ListBullet"/>
      </w:pPr>
      <w:r>
        <w:lastRenderedPageBreak/>
        <w:t xml:space="preserve">Kuhnz, L., K. Buck, C. Lovera, P. Whaling, and J. Barry. 2015. Potential impacts of the Monterrey Accelerated Research System (MARS) Cable on the seabed and benthic faunal assemblages. Prepared by MBARI. </w:t>
      </w:r>
      <w:hyperlink r:id="rId68" w:history="1">
        <w:r>
          <w:rPr>
            <w:rStyle w:val="Hyperlink"/>
          </w:rPr>
          <w:t>Microsoft Word - MBARI Potential impacts of the Monterey Accelerated Research System 2015.docx</w:t>
        </w:r>
      </w:hyperlink>
    </w:p>
    <w:p w14:paraId="245F66D9" w14:textId="29CC1574" w:rsidR="00E773CD" w:rsidRDefault="00D315B5" w:rsidP="00E773CD">
      <w:pPr>
        <w:pStyle w:val="ListBullet"/>
      </w:pPr>
      <w:r>
        <w:t xml:space="preserve">Meissner, K., H. Schabelon, J. Bellebaum, and J. Sordyl. 2006. Impacts of submarine cables on the marine environment: A literature review. Prepared by the Institute of Applied Ecology (IfAO) for the German Federal Agency for Nature Conservation (BfN), </w:t>
      </w:r>
      <w:hyperlink r:id="rId69" w:history="1">
        <w:r w:rsidR="00C170D4">
          <w:rPr>
            <w:rStyle w:val="Hyperlink"/>
          </w:rPr>
          <w:t>Impacts of Submarine Cables on the Marine Environment - A Literature Review | Tethys (pnnl.gov)</w:t>
        </w:r>
      </w:hyperlink>
    </w:p>
    <w:p w14:paraId="19CFD94E" w14:textId="0AA5F77C" w:rsidR="00E773CD" w:rsidRDefault="00E773CD" w:rsidP="00E773CD">
      <w:pPr>
        <w:pStyle w:val="ListBullet"/>
      </w:pPr>
      <w:r>
        <w:t xml:space="preserve">Merck, T., and M. Wasserthal. 2009. Assessment of the environmental impacts of cables (OSPAR Commission). Biodiversity Series No. 437. Available online at: </w:t>
      </w:r>
      <w:hyperlink r:id="rId70" w:history="1">
        <w:r w:rsidR="00B931F1" w:rsidRPr="000C11A1">
          <w:rPr>
            <w:rStyle w:val="Hyperlink"/>
          </w:rPr>
          <w:t>https://www.ospar.org/documents?d=7160</w:t>
        </w:r>
      </w:hyperlink>
    </w:p>
    <w:p w14:paraId="316107D8" w14:textId="0A3B3BD7" w:rsidR="00B931F1" w:rsidRDefault="00B931F1" w:rsidP="00E773CD">
      <w:pPr>
        <w:pStyle w:val="ListBullet"/>
      </w:pPr>
      <w:r>
        <w:t>NASCA (North American Submarine Cable Association). 2019. Cable Burial Experience on the Northeast Coast of the United States. Available online at: https://www.n-a-s-c-a.org/app/download/6817691613/ NASCA+Cable+Burial+Experience+Northeast+Coast+of+the+United+States.pdf?t=1567615190</w:t>
      </w:r>
    </w:p>
    <w:p w14:paraId="05853228" w14:textId="6537F673" w:rsidR="00D35957" w:rsidRDefault="008A13E1" w:rsidP="00E773CD">
      <w:pPr>
        <w:pStyle w:val="ListBullet"/>
      </w:pPr>
      <w:r>
        <w:t xml:space="preserve">Nedwell, J., J. Langworthy, and D. Howell. 2003. Assessment of sub-sea acoustic noise and vibration from offshore wind turbines and its impact on marine life; initial measurements of underwater noise during construction of offshore windfarms, and comparison with background noise. Report No. 544 R 0424 prepared by Subacoustech Ltd. for COWRIE. Available online at: </w:t>
      </w:r>
      <w:hyperlink r:id="rId71" w:history="1">
        <w:r w:rsidR="001E5F94" w:rsidRPr="000C11A1">
          <w:rPr>
            <w:rStyle w:val="Hyperlink"/>
          </w:rPr>
          <w:t>https://tethys.pnnl.gov/sites/default/files/publications/Noise_and_Vibration_from_Offshore_Wind_Turbines_on_Marine_ Wildlife.pdf</w:t>
        </w:r>
      </w:hyperlink>
    </w:p>
    <w:p w14:paraId="594AEBFB" w14:textId="44858224" w:rsidR="001E5F94" w:rsidRDefault="001E5F94" w:rsidP="00E773CD">
      <w:pPr>
        <w:pStyle w:val="ListBullet"/>
      </w:pPr>
      <w:r>
        <w:t xml:space="preserve">NIRAS. 2015. Subsea cable interactions with the marine environment: Expert review and recommendations report. Prepared by NIRAS Consulting Ltd. for Renewables Grid Initiative. Available online at: </w:t>
      </w:r>
      <w:hyperlink r:id="rId72" w:history="1">
        <w:r w:rsidR="0025045B" w:rsidRPr="000C11A1">
          <w:rPr>
            <w:rStyle w:val="Hyperlink"/>
          </w:rPr>
          <w:t>https://renewables-grid.eu/fileadmin/user_upload/Files_RGI/RGI_Publications/RGI_Subseacables_short_report.pdf</w:t>
        </w:r>
      </w:hyperlink>
    </w:p>
    <w:p w14:paraId="15562C4F" w14:textId="4AD3AFF6" w:rsidR="008E4993" w:rsidRDefault="0025045B" w:rsidP="008E4993">
      <w:pPr>
        <w:pStyle w:val="ListBullet"/>
      </w:pPr>
      <w:r>
        <w:t xml:space="preserve">NYSERDA. 2017. New York State Offshore Wind Master Plan Fish and Fisheries Study: Final Report. Report No. 17-25j prepared by Ecology and Environment Engineering, P.C. for the New York State Energy Research and Development Authority, New York, NY. </w:t>
      </w:r>
    </w:p>
    <w:p w14:paraId="44C81457" w14:textId="22A720A6" w:rsidR="008E4993" w:rsidRDefault="0025045B">
      <w:pPr>
        <w:pStyle w:val="ListBullet"/>
      </w:pPr>
      <w:r>
        <w:lastRenderedPageBreak/>
        <w:t xml:space="preserve">Oregon Fishermen’s Cable Committee. 2017. Procedures to Follow While Operating Near Submarine Fiber Optic Cables. Revised February 6, 2017. Available online at: </w:t>
      </w:r>
      <w:hyperlink r:id="rId73" w:history="1">
        <w:r w:rsidR="008E4993" w:rsidRPr="000C11A1">
          <w:rPr>
            <w:rStyle w:val="Hyperlink"/>
          </w:rPr>
          <w:t>http://www.ofcc.com/Procedures2.6.17.pdf</w:t>
        </w:r>
      </w:hyperlink>
    </w:p>
    <w:p w14:paraId="4AE02426" w14:textId="4FC48AA6" w:rsidR="00C26726" w:rsidRDefault="0025045B">
      <w:pPr>
        <w:pStyle w:val="ListBullet"/>
      </w:pPr>
      <w:r>
        <w:t xml:space="preserve">Ørstead (Ørstead U.S. Offshore Wind). 2020. Fishing Gear Conflict Prevention and Claim Procedure. Available online at: </w:t>
      </w:r>
      <w:hyperlink r:id="rId74" w:history="1">
        <w:r w:rsidR="0017685E">
          <w:rPr>
            <w:rStyle w:val="Hyperlink"/>
          </w:rPr>
          <w:t>fishing-gear-conflict-prevention-and-claim-procedure-final. ashx (orsted.com)</w:t>
        </w:r>
      </w:hyperlink>
    </w:p>
    <w:p w14:paraId="1DB5F54E" w14:textId="726B0624" w:rsidR="00161FB4" w:rsidRDefault="0025045B">
      <w:pPr>
        <w:pStyle w:val="ListBullet"/>
      </w:pPr>
      <w:r>
        <w:t xml:space="preserve">OSPAR Commission. 2012. Guidelines on Best Environmental Practices (BEP) in Cable Laying and Operation. Agreement 2012-2, Annex 14. Available online at: </w:t>
      </w:r>
      <w:hyperlink r:id="rId75" w:history="1">
        <w:r w:rsidR="0017685E" w:rsidRPr="000C11A1">
          <w:rPr>
            <w:rStyle w:val="Hyperlink"/>
          </w:rPr>
          <w:t>https://www.gc.noaa.gov/documents/2017/12-02e_agreement_cables_guidelines.pdf</w:t>
        </w:r>
      </w:hyperlink>
      <w:r>
        <w:t xml:space="preserve"> </w:t>
      </w:r>
    </w:p>
    <w:p w14:paraId="5E8D41C7" w14:textId="2F8C5CB0" w:rsidR="0026158D" w:rsidRDefault="0025045B">
      <w:pPr>
        <w:pStyle w:val="ListBullet"/>
      </w:pPr>
      <w:r>
        <w:t xml:space="preserve">A Multi-Objective Optimization Framework for Offshore Wind Farm Layouts and Electric Infrastructures. Energies 2016, 9, 216 RPS. 2019. Review of Cable Installation, Protection, Mitigation, and Habitat Recoverability. Report EOR0744 prepared for The Crown Estate. Available online at: </w:t>
      </w:r>
      <w:hyperlink r:id="rId76" w:history="1">
        <w:r w:rsidR="00E81EC1">
          <w:rPr>
            <w:rStyle w:val="Hyperlink"/>
          </w:rPr>
          <w:t>review-of-cable-installation-protection-mitigation-and-habitat-recoverability.pdf (rpsgroup.com)</w:t>
        </w:r>
      </w:hyperlink>
    </w:p>
    <w:p w14:paraId="6FD6C4F2" w14:textId="78FB3EEA" w:rsidR="00EB305C" w:rsidRDefault="0025045B" w:rsidP="003B2304">
      <w:pPr>
        <w:pStyle w:val="ListBullet"/>
      </w:pPr>
      <w:r>
        <w:t xml:space="preserve">Vize, S., C. Adnitt, and R. Stanisland. 2008. Review of cabling techniques and environmental effects applicable to the offshore wind farm industry (Department for Business Enterprise and Regulatory Reform [BERR] Technical Report). Available online at: </w:t>
      </w:r>
      <w:hyperlink r:id="rId77" w:history="1">
        <w:r w:rsidR="00731C6E">
          <w:rPr>
            <w:rStyle w:val="Hyperlink"/>
          </w:rPr>
          <w:t>Review of Cabling Techniques and Environmental Effects Applicable to the Offshore Wind Farm Industry (pnnl.gov)</w:t>
        </w:r>
      </w:hyperlink>
    </w:p>
    <w:sectPr w:rsidR="00EB305C" w:rsidSect="00F07550">
      <w:headerReference w:type="default" r:id="rId78"/>
      <w:headerReference w:type="first" r:id="rId79"/>
      <w:pgSz w:w="12240" w:h="15840" w:code="9"/>
      <w:pgMar w:top="2552" w:right="3260" w:bottom="1134" w:left="1418" w:header="567" w:footer="56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598F" w14:textId="77777777" w:rsidR="00964880" w:rsidRDefault="00964880">
      <w:r>
        <w:separator/>
      </w:r>
    </w:p>
  </w:endnote>
  <w:endnote w:type="continuationSeparator" w:id="0">
    <w:p w14:paraId="78914069" w14:textId="77777777" w:rsidR="00964880" w:rsidRDefault="00964880">
      <w:r>
        <w:continuationSeparator/>
      </w:r>
    </w:p>
  </w:endnote>
  <w:endnote w:type="continuationNotice" w:id="1">
    <w:p w14:paraId="5B25DD76" w14:textId="77777777" w:rsidR="00964880" w:rsidRDefault="009648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F89C" w14:textId="77777777" w:rsidR="00964880" w:rsidRDefault="00964880">
      <w:r>
        <w:separator/>
      </w:r>
    </w:p>
  </w:footnote>
  <w:footnote w:type="continuationSeparator" w:id="0">
    <w:p w14:paraId="34F84991" w14:textId="77777777" w:rsidR="00964880" w:rsidRDefault="00964880">
      <w:r>
        <w:continuationSeparator/>
      </w:r>
    </w:p>
  </w:footnote>
  <w:footnote w:type="continuationNotice" w:id="1">
    <w:p w14:paraId="70DB5886" w14:textId="77777777" w:rsidR="00964880" w:rsidRDefault="009648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9D7" w14:textId="77777777" w:rsidR="002D0610" w:rsidRDefault="002D0610">
    <w:pPr>
      <w:pStyle w:val="Header"/>
    </w:pPr>
  </w:p>
  <w:p w14:paraId="123F9075" w14:textId="77777777" w:rsidR="002D0610" w:rsidRDefault="00A001F0">
    <w:pPr>
      <w:pStyle w:val="HeaderCowiLogo"/>
      <w:framePr w:wrap="around"/>
    </w:pPr>
    <w:r>
      <w:drawing>
        <wp:inline distT="0" distB="0" distL="0" distR="0" wp14:anchorId="7D19B577" wp14:editId="5E53A125">
          <wp:extent cx="1360831" cy="410040"/>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2B959C04" w14:textId="487E9381" w:rsidR="002D0610" w:rsidRDefault="00A001F0">
    <w:pPr>
      <w:pStyle w:val="HeaderCowiAddress"/>
      <w:framePr w:wrap="around"/>
    </w:pPr>
    <w:r>
      <w:rPr>
        <w:rStyle w:val="CowiLabel"/>
      </w:rPr>
      <w:tab/>
    </w:r>
    <w:r w:rsidR="00F07550">
      <w:rPr>
        <w:rStyle w:val="CowiLabel"/>
      </w:rPr>
      <w:t>Page</w:t>
    </w:r>
    <w:r>
      <w:tab/>
    </w:r>
    <w:r>
      <w:fldChar w:fldCharType="begin"/>
    </w:r>
    <w:r>
      <w:instrText xml:space="preserve"> Page </w:instrText>
    </w:r>
    <w:r>
      <w:fldChar w:fldCharType="separate"/>
    </w:r>
    <w:r w:rsidR="00203426">
      <w:t>2</w:t>
    </w:r>
    <w:r>
      <w:fldChar w:fldCharType="end"/>
    </w:r>
    <w:r>
      <w:t>/</w:t>
    </w:r>
    <w:r>
      <w:fldChar w:fldCharType="begin"/>
    </w:r>
    <w:r>
      <w:instrText xml:space="preserve"> NumPages </w:instrText>
    </w:r>
    <w:r>
      <w:fldChar w:fldCharType="separate"/>
    </w:r>
    <w:r w:rsidR="00203426">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8D76" w14:textId="77777777" w:rsidR="005F3874" w:rsidRDefault="005F3874" w:rsidP="005F3874">
    <w:pPr>
      <w:pStyle w:val="HeaderCowiLogo"/>
      <w:framePr w:wrap="around" w:x="8506" w:y="646"/>
    </w:pPr>
    <w:r>
      <w:drawing>
        <wp:inline distT="0" distB="0" distL="0" distR="0" wp14:anchorId="6100848B" wp14:editId="6BE9B67D">
          <wp:extent cx="1360831" cy="41004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24E9E9B8" w14:textId="77777777" w:rsidR="005F3874" w:rsidRDefault="005F3874" w:rsidP="005F3874">
    <w:pPr>
      <w:pStyle w:val="HeaderCowiAddress"/>
      <w:framePr w:wrap="around" w:x="8506" w:y="646"/>
    </w:pPr>
    <w:r w:rsidRPr="00F07550">
      <w:rPr>
        <w:rStyle w:val="CowiLabel"/>
      </w:rPr>
      <w:tab/>
      <w:t>Address</w:t>
    </w:r>
    <w:r w:rsidRPr="00F07550">
      <w:tab/>
    </w:r>
    <w:r>
      <w:t xml:space="preserve">BTMI | </w:t>
    </w:r>
    <w:r w:rsidRPr="00F07550">
      <w:t>COWI North America Ltd</w:t>
    </w:r>
    <w:r>
      <w:br/>
      <w:t>88 Pine St./Wall St. Plaza</w:t>
    </w:r>
    <w:r>
      <w:br/>
      <w:t>4</w:t>
    </w:r>
    <w:r w:rsidRPr="00E55874">
      <w:rPr>
        <w:vertAlign w:val="superscript"/>
      </w:rPr>
      <w:t>th</w:t>
    </w:r>
    <w:r>
      <w:t xml:space="preserve"> Floor, Suite 400</w:t>
    </w:r>
  </w:p>
  <w:p w14:paraId="3CB8095E" w14:textId="77777777" w:rsidR="005F3874" w:rsidRDefault="005F3874" w:rsidP="005F3874">
    <w:pPr>
      <w:pStyle w:val="HeaderCowiAddress"/>
      <w:framePr w:wrap="around" w:x="8506" w:y="646"/>
    </w:pPr>
    <w:r>
      <w:rPr>
        <w:rStyle w:val="CowiLabel"/>
      </w:rPr>
      <w:tab/>
    </w:r>
    <w:r>
      <w:rPr>
        <w:rStyle w:val="CowiLabel"/>
      </w:rPr>
      <w:tab/>
    </w:r>
    <w:r>
      <w:t xml:space="preserve">New York, NY </w:t>
    </w:r>
  </w:p>
  <w:p w14:paraId="7B4C2699" w14:textId="77777777" w:rsidR="005F3874" w:rsidRDefault="005F3874" w:rsidP="005F3874">
    <w:pPr>
      <w:pStyle w:val="HeaderCowiAddress"/>
      <w:framePr w:wrap="around" w:x="8506" w:y="646"/>
    </w:pPr>
    <w:r>
      <w:tab/>
    </w:r>
    <w:r>
      <w:tab/>
      <w:t>10005</w:t>
    </w:r>
    <w:r>
      <w:br/>
      <w:t>USA</w:t>
    </w:r>
  </w:p>
  <w:p w14:paraId="3371B86A" w14:textId="77777777" w:rsidR="005F3874" w:rsidRDefault="005F3874" w:rsidP="005F3874">
    <w:pPr>
      <w:pStyle w:val="HeaderCowiAddress"/>
      <w:framePr w:wrap="around" w:x="8506" w:y="646"/>
    </w:pPr>
  </w:p>
  <w:p w14:paraId="2CBC85AA" w14:textId="77777777" w:rsidR="005F3874" w:rsidRDefault="005F3874" w:rsidP="005F3874">
    <w:pPr>
      <w:pStyle w:val="HeaderCowiAddress"/>
      <w:framePr w:wrap="around" w:x="8506" w:y="646"/>
    </w:pPr>
    <w:r w:rsidRPr="00F07550">
      <w:rPr>
        <w:rStyle w:val="CowiLabel"/>
      </w:rPr>
      <w:tab/>
      <w:t>Tel</w:t>
    </w:r>
    <w:r w:rsidRPr="00F07550">
      <w:tab/>
      <w:t xml:space="preserve">+1 </w:t>
    </w:r>
    <w:r>
      <w:rPr>
        <w:rStyle w:val="ui-provider"/>
      </w:rPr>
      <w:t>646-545-2125</w:t>
    </w:r>
  </w:p>
  <w:p w14:paraId="5760855A" w14:textId="77777777" w:rsidR="005F3874" w:rsidRDefault="005F3874" w:rsidP="005F3874">
    <w:pPr>
      <w:pStyle w:val="HeaderCowiAddress"/>
      <w:framePr w:wrap="around" w:x="8506" w:y="646"/>
    </w:pPr>
    <w:r w:rsidRPr="00F07550">
      <w:rPr>
        <w:rStyle w:val="CowiLabel"/>
      </w:rPr>
      <w:tab/>
      <w:t>www</w:t>
    </w:r>
    <w:r w:rsidRPr="00F07550">
      <w:tab/>
      <w:t>cowi.com</w:t>
    </w:r>
  </w:p>
  <w:p w14:paraId="2CE8A92F" w14:textId="77777777" w:rsidR="005F3874" w:rsidRDefault="005F3874" w:rsidP="005F3874">
    <w:pPr>
      <w:pStyle w:val="HeaderCowiAddress"/>
      <w:framePr w:wrap="around" w:x="8506" w:y="646"/>
    </w:pPr>
  </w:p>
  <w:p w14:paraId="74AF4198" w14:textId="77777777" w:rsidR="005F3874" w:rsidRDefault="005F3874" w:rsidP="005F3874">
    <w:pPr>
      <w:pStyle w:val="HeaderCowiAddress"/>
      <w:framePr w:wrap="around" w:x="8506" w:y="646"/>
    </w:pPr>
    <w:r>
      <w:rPr>
        <w:rStyle w:val="CowiLabel"/>
      </w:rPr>
      <w:tab/>
      <w:t>Date</w:t>
    </w:r>
    <w:r>
      <w:tab/>
      <w:t>17 May 2023</w:t>
    </w:r>
  </w:p>
  <w:p w14:paraId="0274560A" w14:textId="77777777" w:rsidR="005F3874" w:rsidRDefault="005F3874" w:rsidP="005F3874">
    <w:pPr>
      <w:pStyle w:val="HeaderCowiAddress"/>
      <w:framePr w:wrap="around" w:x="8506" w:y="646"/>
    </w:pPr>
    <w:r>
      <w:rPr>
        <w:rStyle w:val="CowiLabel"/>
      </w:rPr>
      <w:tab/>
      <w:t>Page</w:t>
    </w: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p w14:paraId="44156DD0" w14:textId="77777777" w:rsidR="005F3874" w:rsidRDefault="005F3874" w:rsidP="005F3874">
    <w:pPr>
      <w:pStyle w:val="HeaderCowiAddress"/>
      <w:framePr w:wrap="around" w:x="8506" w:y="646"/>
    </w:pPr>
  </w:p>
  <w:p w14:paraId="6C78F889" w14:textId="77777777" w:rsidR="002D0610" w:rsidRDefault="00A001F0">
    <w:pPr>
      <w:pStyle w:val="Header"/>
    </w:pPr>
    <w:r>
      <w:rPr>
        <w:noProof/>
      </w:rPr>
      <mc:AlternateContent>
        <mc:Choice Requires="wpg">
          <w:drawing>
            <wp:anchor distT="0" distB="0" distL="114300" distR="114300" simplePos="0" relativeHeight="251658240" behindDoc="1" locked="0" layoutInCell="1" allowOverlap="1" wp14:anchorId="4959FFA7" wp14:editId="1CB18323">
              <wp:simplePos x="0" y="0"/>
              <wp:positionH relativeFrom="page">
                <wp:align>right</wp:align>
              </wp:positionH>
              <wp:positionV relativeFrom="page">
                <wp:align>bottom</wp:align>
              </wp:positionV>
              <wp:extent cx="4572000" cy="4143600"/>
              <wp:effectExtent l="0" t="0" r="0" b="9525"/>
              <wp:wrapNone/>
              <wp:docPr id="1" name="Group 1"/>
              <wp:cNvGraphicFramePr/>
              <a:graphic xmlns:a="http://schemas.openxmlformats.org/drawingml/2006/main">
                <a:graphicData uri="http://schemas.microsoft.com/office/word/2010/wordprocessingGroup">
                  <wpg:wgp>
                    <wpg:cNvGrpSpPr/>
                    <wpg:grpSpPr>
                      <a:xfrm>
                        <a:off x="0" y="0"/>
                        <a:ext cx="4572000" cy="4143600"/>
                        <a:chOff x="0" y="0"/>
                        <a:chExt cx="4572001" cy="4140201"/>
                      </a:xfrm>
                    </wpg:grpSpPr>
                    <wps:wsp>
                      <wps:cNvPr id="10" name="Freeform 10"/>
                      <wps:cNvSpPr/>
                      <wps:spPr>
                        <a:xfrm>
                          <a:off x="2778125" y="0"/>
                          <a:ext cx="1181101" cy="2032001"/>
                        </a:xfrm>
                        <a:custGeom>
                          <a:avLst/>
                          <a:gdLst/>
                          <a:ahLst/>
                          <a:cxnLst/>
                          <a:rect l="0" t="0" r="0" b="0"/>
                          <a:pathLst>
                            <a:path w="1181101" h="2032001">
                              <a:moveTo>
                                <a:pt x="0" y="0"/>
                              </a:moveTo>
                              <a:lnTo>
                                <a:pt x="1181100" y="2019300"/>
                              </a:lnTo>
                              <a:lnTo>
                                <a:pt x="1181100" y="2032000"/>
                              </a:lnTo>
                              <a:lnTo>
                                <a:pt x="152400" y="2019300"/>
                              </a:lnTo>
                              <a:lnTo>
                                <a:pt x="152400" y="2006600"/>
                              </a:lnTo>
                              <a:close/>
                            </a:path>
                          </a:pathLst>
                        </a:custGeom>
                        <a:gradFill flip="none" rotWithShape="1">
                          <a:gsLst>
                            <a:gs pos="0">
                              <a:srgbClr val="E6E6E6"/>
                            </a:gs>
                            <a:gs pos="100000">
                              <a:srgbClr val="E6E6E6">
                                <a:tint val="3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1" name="Freeform 11"/>
                      <wps:cNvSpPr/>
                      <wps:spPr>
                        <a:xfrm>
                          <a:off x="1978025" y="1981200"/>
                          <a:ext cx="1981201" cy="622301"/>
                        </a:xfrm>
                        <a:custGeom>
                          <a:avLst/>
                          <a:gdLst/>
                          <a:ahLst/>
                          <a:cxnLst/>
                          <a:rect l="0" t="0" r="0" b="0"/>
                          <a:pathLst>
                            <a:path w="1981201" h="622301">
                              <a:moveTo>
                                <a:pt x="381000" y="0"/>
                              </a:moveTo>
                              <a:lnTo>
                                <a:pt x="1981200" y="38100"/>
                              </a:lnTo>
                              <a:lnTo>
                                <a:pt x="1981200" y="50800"/>
                              </a:lnTo>
                              <a:lnTo>
                                <a:pt x="0" y="622300"/>
                              </a:lnTo>
                              <a:lnTo>
                                <a:pt x="0" y="609600"/>
                              </a:lnTo>
                              <a:close/>
                            </a:path>
                          </a:pathLst>
                        </a:custGeom>
                        <a:gradFill flip="none" rotWithShape="1">
                          <a:gsLst>
                            <a:gs pos="0">
                              <a:srgbClr val="E6E6E6"/>
                            </a:gs>
                            <a:gs pos="100000">
                              <a:srgbClr val="E6E6E6">
                                <a:tint val="60000"/>
                              </a:srgbClr>
                            </a:gs>
                          </a:gsLst>
                          <a:lin ang="162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2" name="Freeform 12"/>
                      <wps:cNvSpPr/>
                      <wps:spPr>
                        <a:xfrm>
                          <a:off x="3949700" y="2019300"/>
                          <a:ext cx="622301" cy="2108201"/>
                        </a:xfrm>
                        <a:custGeom>
                          <a:avLst/>
                          <a:gdLst/>
                          <a:ahLst/>
                          <a:cxnLst/>
                          <a:rect l="0" t="0" r="0" b="0"/>
                          <a:pathLst>
                            <a:path w="622301" h="2108201">
                              <a:moveTo>
                                <a:pt x="622300" y="469900"/>
                              </a:moveTo>
                              <a:lnTo>
                                <a:pt x="381000" y="2108200"/>
                              </a:lnTo>
                              <a:lnTo>
                                <a:pt x="368300" y="2108200"/>
                              </a:lnTo>
                              <a:lnTo>
                                <a:pt x="0" y="12700"/>
                              </a:lnTo>
                              <a:lnTo>
                                <a:pt x="12700" y="0"/>
                              </a:lnTo>
                              <a:close/>
                            </a:path>
                          </a:pathLst>
                        </a:custGeom>
                        <a:gradFill flip="none" rotWithShape="1">
                          <a:gsLst>
                            <a:gs pos="0">
                              <a:srgbClr val="EBEBEB"/>
                            </a:gs>
                            <a:gs pos="100000">
                              <a:srgbClr val="EBEBEB">
                                <a:tint val="10000"/>
                              </a:srgbClr>
                            </a:gs>
                          </a:gsLst>
                          <a:lin ang="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s:wsp>
                      <wps:cNvPr id="13" name="Freeform 13"/>
                      <wps:cNvSpPr/>
                      <wps:spPr>
                        <a:xfrm>
                          <a:off x="0" y="2019300"/>
                          <a:ext cx="4330701" cy="2120901"/>
                        </a:xfrm>
                        <a:custGeom>
                          <a:avLst/>
                          <a:gdLst/>
                          <a:ahLst/>
                          <a:cxnLst/>
                          <a:rect l="0" t="0" r="0" b="0"/>
                          <a:pathLst>
                            <a:path w="4330701" h="2120901">
                              <a:moveTo>
                                <a:pt x="3962400" y="0"/>
                              </a:moveTo>
                              <a:lnTo>
                                <a:pt x="4330700" y="2120900"/>
                              </a:lnTo>
                              <a:lnTo>
                                <a:pt x="0" y="1143000"/>
                              </a:lnTo>
                              <a:close/>
                            </a:path>
                          </a:pathLst>
                        </a:custGeom>
                        <a:gradFill flip="none" rotWithShape="1">
                          <a:gsLst>
                            <a:gs pos="0">
                              <a:srgbClr val="D7D7D7"/>
                            </a:gs>
                            <a:gs pos="100000">
                              <a:srgbClr val="D7D7D7">
                                <a:tint val="10000"/>
                              </a:srgbClr>
                            </a:gs>
                          </a:gsLst>
                          <a:lin ang="5400000" scaled="1"/>
                          <a:tileRect/>
                        </a:gradFill>
                        <a:ln w="0" cap="flat" cmpd="sng" algn="ctr">
                          <a:noFill/>
                          <a:prstDash val="solid"/>
                          <a:round/>
                          <a:headEnd type="none" w="med" len="med"/>
                          <a:tailEnd type="none" w="med" len="med"/>
                        </a:ln>
                        <a:effectLst/>
                        <a:extLst>
                          <a:ext uri="{91240B29-F687-4F45-9708-019B960494DF}">
                            <a14:hiddenLine xmlns:a14="http://schemas.microsoft.com/office/drawing/2010/main" w="0" cap="flat" cmpd="sng" algn="ctr">
                              <a:solidFill>
                                <a:schemeClr val="accent1">
                                  <a:shade val="5000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FA17A2A">
            <v:group id="Group 1" style="position:absolute;margin-left:308.8pt;margin-top:0;width:5in;height:326.25pt;z-index:-251649024;mso-position-horizontal:right;mso-position-horizontal-relative:page;mso-position-vertical:bottom;mso-position-vertical-relative:page;mso-height-relative:margin" coordsize="45720,41402" o:spid="_x0000_s1026" w14:anchorId="630A7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">
              <v:shape id="Freeform 10" style="position:absolute;left:27781;width:11811;height:20320;visibility:visible;mso-wrap-style:square;v-text-anchor:top" coordsize="1181101,2032001" o:spid="_x0000_s1027" fillcolor="#e6e6e6" stroked="f" strokecolor="#212c34 [1604]" strokeweight="0" path="m,l1181100,2019300r,12700l152400,2019300r,-1270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">
                <v:fill type="gradient" color2="#f8f8f8" angle="180" focus="100%" rotate="t"/>
                <v:path textboxrect="0,0,1181101,2032001" arrowok="t"/>
              </v:shape>
              <v:shape id="Freeform 11" style="position:absolute;left:19780;top:19812;width:19812;height:6223;visibility:visible;mso-wrap-style:square;v-text-anchor:top" coordsize="1981201,622301" o:spid="_x0000_s1028" fillcolor="#e6e6e6" stroked="f" strokecolor="#212c34 [1604]" strokeweight="0" path="m381000,l1981200,38100r,12700l,622300,,609600,381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">
                <v:fill type="gradient" color2="#f0f0f0" angle="180" focus="100%" rotate="t"/>
                <v:path textboxrect="0,0,1981201,622301" arrowok="t"/>
              </v:shape>
              <v:shape id="Freeform 12" style="position:absolute;left:39497;top:20193;width:6223;height:21082;visibility:visible;mso-wrap-style:square;v-text-anchor:top" coordsize="622301,2108201" o:spid="_x0000_s1029" fillcolor="#ebebeb" stroked="f" strokecolor="#212c34 [1604]" strokeweight="0" path="m622300,469900l381000,2108200r-12700,l,12700,12700,,622300,469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">
                <v:fill type="gradient" color2="#fdfdfd" angle="90" focus="100%" rotate="t"/>
                <v:path textboxrect="0,0,622301,2108201" arrowok="t"/>
              </v:shape>
              <v:shape id="Freeform 13" style="position:absolute;top:20193;width:43307;height:21209;visibility:visible;mso-wrap-style:square;v-text-anchor:top" coordsize="4330701,2120901" o:spid="_x0000_s1030" fillcolor="#d7d7d7" stroked="f" strokecolor="#212c34 [1604]" strokeweight="0" path="m3962400,r368300,2120900l,1143000,3962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">
                <v:fill type="gradient" color2="#fbfbfb" focus="100%" rotate="t"/>
                <v:path textboxrect="0,0,4330701,2120901"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FEC7E0"/>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6B6942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CFD7AD9"/>
    <w:multiLevelType w:val="multilevel"/>
    <w:tmpl w:val="39FAA6E4"/>
    <w:styleLink w:val="CowiBulletList"/>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70461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D80F37"/>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B8672DB"/>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63405100"/>
    <w:multiLevelType w:val="multilevel"/>
    <w:tmpl w:val="7D22225C"/>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8475310">
    <w:abstractNumId w:val="5"/>
  </w:num>
  <w:num w:numId="2" w16cid:durableId="1326055703">
    <w:abstractNumId w:val="6"/>
  </w:num>
  <w:num w:numId="3" w16cid:durableId="1591696697">
    <w:abstractNumId w:val="7"/>
  </w:num>
  <w:num w:numId="4" w16cid:durableId="976028433">
    <w:abstractNumId w:val="1"/>
  </w:num>
  <w:num w:numId="5" w16cid:durableId="1601374552">
    <w:abstractNumId w:val="0"/>
  </w:num>
  <w:num w:numId="6" w16cid:durableId="600377156">
    <w:abstractNumId w:val="2"/>
  </w:num>
  <w:num w:numId="7" w16cid:durableId="1329408441">
    <w:abstractNumId w:val="3"/>
  </w:num>
  <w:num w:numId="8" w16cid:durableId="2128154547">
    <w:abstractNumId w:val="8"/>
  </w:num>
  <w:num w:numId="9" w16cid:durableId="776632623">
    <w:abstractNumId w:val="4"/>
  </w:num>
  <w:num w:numId="10" w16cid:durableId="896625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425"/>
  <w:hyphenationZone w:val="357"/>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55"/>
    <w:rsid w:val="000023B7"/>
    <w:rsid w:val="00040B67"/>
    <w:rsid w:val="00047FF9"/>
    <w:rsid w:val="0008699D"/>
    <w:rsid w:val="000C019D"/>
    <w:rsid w:val="000C5347"/>
    <w:rsid w:val="000C5CF6"/>
    <w:rsid w:val="000D4861"/>
    <w:rsid w:val="000D728C"/>
    <w:rsid w:val="000E45F2"/>
    <w:rsid w:val="001304DB"/>
    <w:rsid w:val="00132DD4"/>
    <w:rsid w:val="001330DD"/>
    <w:rsid w:val="001557B9"/>
    <w:rsid w:val="0016078F"/>
    <w:rsid w:val="00161FB4"/>
    <w:rsid w:val="00165855"/>
    <w:rsid w:val="0017685E"/>
    <w:rsid w:val="00184403"/>
    <w:rsid w:val="001C7D2A"/>
    <w:rsid w:val="001E5F94"/>
    <w:rsid w:val="00203426"/>
    <w:rsid w:val="00211FBA"/>
    <w:rsid w:val="00213704"/>
    <w:rsid w:val="00214859"/>
    <w:rsid w:val="00240F71"/>
    <w:rsid w:val="00245B8E"/>
    <w:rsid w:val="0025045B"/>
    <w:rsid w:val="00254947"/>
    <w:rsid w:val="0026158D"/>
    <w:rsid w:val="00264A38"/>
    <w:rsid w:val="00287CA7"/>
    <w:rsid w:val="002A7C1F"/>
    <w:rsid w:val="002B3725"/>
    <w:rsid w:val="002C7B65"/>
    <w:rsid w:val="002D0610"/>
    <w:rsid w:val="002D1266"/>
    <w:rsid w:val="002F29C5"/>
    <w:rsid w:val="002F2D0C"/>
    <w:rsid w:val="002F4A63"/>
    <w:rsid w:val="002F5A18"/>
    <w:rsid w:val="003024F7"/>
    <w:rsid w:val="00302D3E"/>
    <w:rsid w:val="00302DE8"/>
    <w:rsid w:val="003306A0"/>
    <w:rsid w:val="0034628B"/>
    <w:rsid w:val="00346399"/>
    <w:rsid w:val="0035276D"/>
    <w:rsid w:val="0036493F"/>
    <w:rsid w:val="00385348"/>
    <w:rsid w:val="003B2304"/>
    <w:rsid w:val="003B2DC3"/>
    <w:rsid w:val="003C6005"/>
    <w:rsid w:val="003D1409"/>
    <w:rsid w:val="003D37AB"/>
    <w:rsid w:val="003F5F41"/>
    <w:rsid w:val="00445BF7"/>
    <w:rsid w:val="00446284"/>
    <w:rsid w:val="004524F8"/>
    <w:rsid w:val="0045345A"/>
    <w:rsid w:val="00463EE2"/>
    <w:rsid w:val="004764DC"/>
    <w:rsid w:val="004934C0"/>
    <w:rsid w:val="00497FFB"/>
    <w:rsid w:val="004A12AC"/>
    <w:rsid w:val="004B2409"/>
    <w:rsid w:val="004B3B1E"/>
    <w:rsid w:val="004C7331"/>
    <w:rsid w:val="004D35D5"/>
    <w:rsid w:val="004F11A5"/>
    <w:rsid w:val="004F5886"/>
    <w:rsid w:val="004F5DC2"/>
    <w:rsid w:val="00503BED"/>
    <w:rsid w:val="00507F10"/>
    <w:rsid w:val="00510636"/>
    <w:rsid w:val="005154E0"/>
    <w:rsid w:val="005226E4"/>
    <w:rsid w:val="0054383A"/>
    <w:rsid w:val="005450E9"/>
    <w:rsid w:val="00547658"/>
    <w:rsid w:val="005528FC"/>
    <w:rsid w:val="0058642B"/>
    <w:rsid w:val="005C3341"/>
    <w:rsid w:val="005E42A3"/>
    <w:rsid w:val="005F3874"/>
    <w:rsid w:val="00644EF6"/>
    <w:rsid w:val="006511B5"/>
    <w:rsid w:val="006737B9"/>
    <w:rsid w:val="00675CD6"/>
    <w:rsid w:val="006866AD"/>
    <w:rsid w:val="00694E21"/>
    <w:rsid w:val="00694E78"/>
    <w:rsid w:val="006B4F34"/>
    <w:rsid w:val="006B7424"/>
    <w:rsid w:val="006C0597"/>
    <w:rsid w:val="006C13F1"/>
    <w:rsid w:val="006D1677"/>
    <w:rsid w:val="006E0A7A"/>
    <w:rsid w:val="00715721"/>
    <w:rsid w:val="00731C6E"/>
    <w:rsid w:val="00734192"/>
    <w:rsid w:val="00734D51"/>
    <w:rsid w:val="007374A6"/>
    <w:rsid w:val="007411B0"/>
    <w:rsid w:val="007504F9"/>
    <w:rsid w:val="0077557A"/>
    <w:rsid w:val="00786298"/>
    <w:rsid w:val="0078774E"/>
    <w:rsid w:val="007B2E1B"/>
    <w:rsid w:val="007B4685"/>
    <w:rsid w:val="007B7DBB"/>
    <w:rsid w:val="007C20F7"/>
    <w:rsid w:val="007D007A"/>
    <w:rsid w:val="007F1D26"/>
    <w:rsid w:val="007F5662"/>
    <w:rsid w:val="008074D8"/>
    <w:rsid w:val="00811F49"/>
    <w:rsid w:val="0081770C"/>
    <w:rsid w:val="00817D30"/>
    <w:rsid w:val="008324E2"/>
    <w:rsid w:val="00844C8B"/>
    <w:rsid w:val="00847BD5"/>
    <w:rsid w:val="00855B7C"/>
    <w:rsid w:val="00875E53"/>
    <w:rsid w:val="0088353C"/>
    <w:rsid w:val="008859B7"/>
    <w:rsid w:val="008A13E1"/>
    <w:rsid w:val="008A753D"/>
    <w:rsid w:val="008C7A2A"/>
    <w:rsid w:val="008D2DC1"/>
    <w:rsid w:val="008E4993"/>
    <w:rsid w:val="00902AD4"/>
    <w:rsid w:val="00912E31"/>
    <w:rsid w:val="0091483D"/>
    <w:rsid w:val="009172F7"/>
    <w:rsid w:val="0096099B"/>
    <w:rsid w:val="00964880"/>
    <w:rsid w:val="0098055F"/>
    <w:rsid w:val="00A001F0"/>
    <w:rsid w:val="00A04ADB"/>
    <w:rsid w:val="00A05197"/>
    <w:rsid w:val="00A05A95"/>
    <w:rsid w:val="00A16E58"/>
    <w:rsid w:val="00A26FB4"/>
    <w:rsid w:val="00A34BDE"/>
    <w:rsid w:val="00A46CA2"/>
    <w:rsid w:val="00A549FF"/>
    <w:rsid w:val="00A6099B"/>
    <w:rsid w:val="00A610C4"/>
    <w:rsid w:val="00A807A4"/>
    <w:rsid w:val="00A808E2"/>
    <w:rsid w:val="00AB7CF1"/>
    <w:rsid w:val="00AC4BC9"/>
    <w:rsid w:val="00AF56F0"/>
    <w:rsid w:val="00AF6C7A"/>
    <w:rsid w:val="00B355E8"/>
    <w:rsid w:val="00B37A6B"/>
    <w:rsid w:val="00B458EE"/>
    <w:rsid w:val="00B50927"/>
    <w:rsid w:val="00B61397"/>
    <w:rsid w:val="00B71E6F"/>
    <w:rsid w:val="00B931F1"/>
    <w:rsid w:val="00B96AD2"/>
    <w:rsid w:val="00BB4FC9"/>
    <w:rsid w:val="00BD759A"/>
    <w:rsid w:val="00BE2254"/>
    <w:rsid w:val="00BF0014"/>
    <w:rsid w:val="00C02B38"/>
    <w:rsid w:val="00C11D16"/>
    <w:rsid w:val="00C170D4"/>
    <w:rsid w:val="00C26726"/>
    <w:rsid w:val="00C40B11"/>
    <w:rsid w:val="00C4581D"/>
    <w:rsid w:val="00C47487"/>
    <w:rsid w:val="00C61521"/>
    <w:rsid w:val="00C62382"/>
    <w:rsid w:val="00C6353B"/>
    <w:rsid w:val="00C73295"/>
    <w:rsid w:val="00C80D2E"/>
    <w:rsid w:val="00C84106"/>
    <w:rsid w:val="00C86CE6"/>
    <w:rsid w:val="00C946FF"/>
    <w:rsid w:val="00CB222D"/>
    <w:rsid w:val="00CE3886"/>
    <w:rsid w:val="00D0402D"/>
    <w:rsid w:val="00D315B5"/>
    <w:rsid w:val="00D32EB2"/>
    <w:rsid w:val="00D35957"/>
    <w:rsid w:val="00D3763D"/>
    <w:rsid w:val="00D41FC2"/>
    <w:rsid w:val="00D544A4"/>
    <w:rsid w:val="00D55B8F"/>
    <w:rsid w:val="00D6028D"/>
    <w:rsid w:val="00D7540A"/>
    <w:rsid w:val="00D8732A"/>
    <w:rsid w:val="00D9448C"/>
    <w:rsid w:val="00D97532"/>
    <w:rsid w:val="00DF2D18"/>
    <w:rsid w:val="00E0794E"/>
    <w:rsid w:val="00E13E60"/>
    <w:rsid w:val="00E31F72"/>
    <w:rsid w:val="00E511AC"/>
    <w:rsid w:val="00E52C7F"/>
    <w:rsid w:val="00E53033"/>
    <w:rsid w:val="00E55874"/>
    <w:rsid w:val="00E76392"/>
    <w:rsid w:val="00E773CD"/>
    <w:rsid w:val="00E81EC1"/>
    <w:rsid w:val="00E82915"/>
    <w:rsid w:val="00E929D8"/>
    <w:rsid w:val="00EA120E"/>
    <w:rsid w:val="00EB2790"/>
    <w:rsid w:val="00EB305C"/>
    <w:rsid w:val="00ED0251"/>
    <w:rsid w:val="00EE17A8"/>
    <w:rsid w:val="00EF1FAA"/>
    <w:rsid w:val="00F035FE"/>
    <w:rsid w:val="00F05AA6"/>
    <w:rsid w:val="00F07550"/>
    <w:rsid w:val="00F21F0F"/>
    <w:rsid w:val="00F45E39"/>
    <w:rsid w:val="00F51F3C"/>
    <w:rsid w:val="00F52E5D"/>
    <w:rsid w:val="00F52FB2"/>
    <w:rsid w:val="00F54967"/>
    <w:rsid w:val="00F660E5"/>
    <w:rsid w:val="00F7053B"/>
    <w:rsid w:val="00F7498D"/>
    <w:rsid w:val="00F83008"/>
    <w:rsid w:val="00FA11A6"/>
    <w:rsid w:val="00FC1B3E"/>
    <w:rsid w:val="00FD2810"/>
    <w:rsid w:val="00FF2596"/>
    <w:rsid w:val="00FF4FAD"/>
    <w:rsid w:val="2E46F5F0"/>
    <w:rsid w:val="68566D49"/>
  </w:rsids>
  <m:mathPr>
    <m:mathFont m:val="Cambria Math"/>
    <m:brkBin m:val="before"/>
    <m:brkBinSub m:val="--"/>
    <m:smallFrac m:val="0"/>
    <m:dispDef/>
    <m:lMargin m:val="0"/>
    <m:rMargin m:val="0"/>
    <m:defJc m:val="centerGroup"/>
    <m:wrapIndent m:val="1440"/>
    <m:intLim m:val="subSup"/>
    <m:naryLim m:val="undOvr"/>
  </m:mathPr>
  <w:themeFontLang w:val="da-DK"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5C510"/>
  <w15:docId w15:val="{EB080375-4613-445F-B804-1C0E1B7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semiHidden/>
    <w:qFormat/>
    <w:pPr>
      <w:spacing w:line="280" w:lineRule="atLeast"/>
    </w:pPr>
    <w:rPr>
      <w:rFonts w:ascii="Verdana" w:hAnsi="Verdana" w:cs="Arial"/>
      <w:sz w:val="18"/>
      <w:lang w:val="en-US"/>
    </w:rPr>
  </w:style>
  <w:style w:type="paragraph" w:styleId="Heading1">
    <w:name w:val="heading 1"/>
    <w:basedOn w:val="Normal"/>
    <w:next w:val="BodyText"/>
    <w:link w:val="Heading1Char"/>
    <w:uiPriority w:val="9"/>
    <w:qFormat/>
    <w:pPr>
      <w:keepNext/>
      <w:keepLines/>
      <w:suppressAutoHyphens/>
      <w:spacing w:line="320" w:lineRule="atLeast"/>
      <w:outlineLvl w:val="0"/>
    </w:pPr>
    <w:rPr>
      <w:sz w:val="28"/>
    </w:rPr>
  </w:style>
  <w:style w:type="paragraph" w:styleId="Heading2">
    <w:name w:val="heading 2"/>
    <w:basedOn w:val="Heading1"/>
    <w:next w:val="BodyText"/>
    <w:semiHidden/>
    <w:unhideWhenUsed/>
    <w:qFormat/>
    <w:pPr>
      <w:outlineLvl w:val="1"/>
    </w:pPr>
  </w:style>
  <w:style w:type="paragraph" w:styleId="Heading3">
    <w:name w:val="heading 3"/>
    <w:basedOn w:val="Heading2"/>
    <w:next w:val="BodyText"/>
    <w:semiHidden/>
    <w:unhideWhenUsed/>
    <w:qFormat/>
    <w:pPr>
      <w:outlineLvl w:val="2"/>
    </w:pPr>
  </w:style>
  <w:style w:type="paragraph" w:styleId="Heading4">
    <w:name w:val="heading 4"/>
    <w:basedOn w:val="Heading3"/>
    <w:next w:val="BodyText"/>
    <w:semiHidden/>
    <w:unhideWhenUsed/>
    <w:qFormat/>
    <w:pPr>
      <w:numPr>
        <w:ilvl w:val="3"/>
        <w:numId w:val="3"/>
      </w:numPr>
      <w:outlineLvl w:val="3"/>
    </w:pPr>
  </w:style>
  <w:style w:type="paragraph" w:styleId="Heading5">
    <w:name w:val="heading 5"/>
    <w:basedOn w:val="Normal"/>
    <w:next w:val="Normal"/>
    <w:semiHidden/>
    <w:unhideWhenUsed/>
    <w:qFormat/>
    <w:pPr>
      <w:numPr>
        <w:ilvl w:val="4"/>
        <w:numId w:val="3"/>
      </w:numPr>
      <w:spacing w:before="240" w:after="60"/>
      <w:outlineLvl w:val="4"/>
    </w:pPr>
  </w:style>
  <w:style w:type="paragraph" w:styleId="Heading6">
    <w:name w:val="heading 6"/>
    <w:basedOn w:val="Normal"/>
    <w:next w:val="Normal"/>
    <w:semiHidden/>
    <w:unhideWhenUsed/>
    <w:qFormat/>
    <w:pPr>
      <w:numPr>
        <w:ilvl w:val="5"/>
        <w:numId w:val="3"/>
      </w:numPr>
      <w:spacing w:before="240" w:after="60"/>
      <w:outlineLvl w:val="5"/>
    </w:pPr>
    <w:rPr>
      <w:i/>
    </w:rPr>
  </w:style>
  <w:style w:type="paragraph" w:styleId="Heading7">
    <w:name w:val="heading 7"/>
    <w:basedOn w:val="Normal"/>
    <w:next w:val="Normal"/>
    <w:semiHidden/>
    <w:unhideWhenUsed/>
    <w:qFormat/>
    <w:pPr>
      <w:numPr>
        <w:ilvl w:val="6"/>
        <w:numId w:val="3"/>
      </w:numPr>
      <w:spacing w:before="240" w:after="60"/>
      <w:outlineLvl w:val="6"/>
    </w:pPr>
  </w:style>
  <w:style w:type="paragraph" w:styleId="Heading8">
    <w:name w:val="heading 8"/>
    <w:basedOn w:val="Normal"/>
    <w:next w:val="Normal"/>
    <w:semiHidden/>
    <w:unhideWhenUsed/>
    <w:qFormat/>
    <w:pPr>
      <w:numPr>
        <w:ilvl w:val="7"/>
        <w:numId w:val="3"/>
      </w:numPr>
      <w:spacing w:before="240" w:after="60"/>
      <w:outlineLvl w:val="7"/>
    </w:pPr>
    <w:rPr>
      <w:i/>
    </w:rPr>
  </w:style>
  <w:style w:type="paragraph" w:styleId="Heading9">
    <w:name w:val="heading 9"/>
    <w:basedOn w:val="Normal"/>
    <w:next w:val="Normal"/>
    <w:semiHidden/>
    <w:unhideWhenUsed/>
    <w:qFormat/>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80"/>
    </w:pPr>
  </w:style>
  <w:style w:type="paragraph" w:styleId="Header">
    <w:name w:val="header"/>
    <w:basedOn w:val="Normal"/>
    <w:semiHidden/>
    <w:pPr>
      <w:spacing w:line="220" w:lineRule="exact"/>
    </w:pPr>
    <w:rPr>
      <w:sz w:val="14"/>
      <w:szCs w:val="14"/>
    </w:rPr>
  </w:style>
  <w:style w:type="paragraph" w:customStyle="1" w:styleId="BodyMargin">
    <w:name w:val="Body Margin"/>
    <w:basedOn w:val="BodyText"/>
    <w:next w:val="BodyText"/>
    <w:uiPriority w:val="15"/>
    <w:unhideWhenUsed/>
    <w:pPr>
      <w:ind w:hanging="567"/>
    </w:pPr>
  </w:style>
  <w:style w:type="paragraph" w:styleId="Footer">
    <w:name w:val="footer"/>
    <w:basedOn w:val="Normal"/>
    <w:semiHidden/>
    <w:pPr>
      <w:ind w:right="-2410"/>
    </w:pPr>
    <w:rPr>
      <w:noProof/>
      <w:color w:val="333333"/>
      <w:sz w:val="11"/>
    </w:rPr>
  </w:style>
  <w:style w:type="paragraph" w:customStyle="1" w:styleId="MarginFrame">
    <w:name w:val="Margin Frame"/>
    <w:basedOn w:val="Normal"/>
    <w:uiPriority w:val="15"/>
    <w:unhideWhenUsed/>
    <w:pPr>
      <w:keepNext/>
      <w:keepLines/>
      <w:framePr w:w="2722" w:hSpace="539" w:vSpace="181" w:wrap="around" w:vAnchor="text" w:hAnchor="page" w:xAlign="right" w:y="1"/>
    </w:pPr>
  </w:style>
  <w:style w:type="paragraph" w:customStyle="1" w:styleId="BodyTextNoSpace">
    <w:name w:val="Body Text NoSpace"/>
    <w:basedOn w:val="BodyText"/>
    <w:pPr>
      <w:spacing w:after="0"/>
    </w:pPr>
  </w:style>
  <w:style w:type="paragraph" w:customStyle="1" w:styleId="BodyMarginNoSpace">
    <w:name w:val="Body Margin NoSpace"/>
    <w:basedOn w:val="BodyMargin"/>
    <w:next w:val="BodyTextNoSpace"/>
    <w:uiPriority w:val="15"/>
    <w:unhideWhenUsed/>
    <w:pPr>
      <w:spacing w:after="0"/>
    </w:pPr>
  </w:style>
  <w:style w:type="paragraph" w:styleId="ListBullet">
    <w:name w:val="List Bullet"/>
    <w:basedOn w:val="BodyText"/>
    <w:uiPriority w:val="4"/>
    <w:pPr>
      <w:numPr>
        <w:numId w:val="6"/>
      </w:numPr>
    </w:pPr>
  </w:style>
  <w:style w:type="paragraph" w:styleId="ListBullet2">
    <w:name w:val="List Bullet 2"/>
    <w:basedOn w:val="ListBullet"/>
    <w:uiPriority w:val="4"/>
    <w:pPr>
      <w:numPr>
        <w:ilvl w:val="1"/>
      </w:numPr>
    </w:pPr>
  </w:style>
  <w:style w:type="numbering" w:customStyle="1" w:styleId="CowiBulletList">
    <w:name w:val="CowiBulletList"/>
    <w:basedOn w:val="NoList"/>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pPr>
      <w:spacing w:before="140" w:after="140" w:line="240" w:lineRule="atLeast"/>
      <w:ind w:left="1276" w:hanging="1276"/>
    </w:pPr>
    <w:rPr>
      <w:i/>
      <w:sz w:val="16"/>
    </w:rPr>
  </w:style>
  <w:style w:type="paragraph" w:styleId="ListContinue">
    <w:name w:val="List Continue"/>
    <w:basedOn w:val="BodyText"/>
    <w:uiPriority w:val="6"/>
    <w:pPr>
      <w:ind w:left="425"/>
    </w:pPr>
  </w:style>
  <w:style w:type="paragraph" w:styleId="ListNumber">
    <w:name w:val="List Number"/>
    <w:basedOn w:val="BodyText"/>
    <w:uiPriority w:val="4"/>
    <w:pPr>
      <w:numPr>
        <w:numId w:val="7"/>
      </w:numPr>
    </w:pPr>
  </w:style>
  <w:style w:type="paragraph" w:styleId="ListContinue2">
    <w:name w:val="List Continue 2"/>
    <w:basedOn w:val="ListContinue"/>
    <w:uiPriority w:val="6"/>
    <w:pPr>
      <w:ind w:left="851"/>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BulletNoSpace">
    <w:name w:val="List Bullet NoSpace"/>
    <w:basedOn w:val="ListBullet"/>
    <w:uiPriority w:val="4"/>
    <w:qFormat/>
    <w:pPr>
      <w:spacing w:after="0"/>
    </w:pPr>
  </w:style>
  <w:style w:type="paragraph" w:customStyle="1" w:styleId="ListBullet2NoSpace">
    <w:name w:val="List Bullet 2 NoSpace"/>
    <w:basedOn w:val="ListBullet2"/>
    <w:uiPriority w:val="4"/>
    <w:qFormat/>
    <w:pPr>
      <w:spacing w:after="0"/>
      <w:ind w:left="850" w:hanging="425"/>
    </w:pPr>
  </w:style>
  <w:style w:type="paragraph" w:customStyle="1" w:styleId="ListHanging">
    <w:name w:val="List Hanging"/>
    <w:basedOn w:val="BodyText"/>
    <w:uiPriority w:val="6"/>
    <w:pPr>
      <w:ind w:left="1701" w:hanging="1701"/>
    </w:pPr>
  </w:style>
  <w:style w:type="paragraph" w:customStyle="1" w:styleId="ListHangingNoSpace">
    <w:name w:val="List Hanging NoSpace"/>
    <w:basedOn w:val="ListHanging"/>
    <w:uiPriority w:val="6"/>
    <w:pPr>
      <w:spacing w:after="0"/>
    </w:pPr>
  </w:style>
  <w:style w:type="paragraph" w:customStyle="1" w:styleId="Table">
    <w:name w:val="Table"/>
    <w:basedOn w:val="Normal"/>
    <w:uiPriority w:val="9"/>
    <w:semiHidden/>
    <w:unhideWhenUsed/>
    <w:pPr>
      <w:spacing w:before="60" w:after="120" w:line="220" w:lineRule="atLeast"/>
    </w:pPr>
    <w:rPr>
      <w:sz w:val="16"/>
    </w:rPr>
  </w:style>
  <w:style w:type="paragraph" w:styleId="Signature">
    <w:name w:val="Signature"/>
    <w:basedOn w:val="BodyText"/>
    <w:semiHidden/>
    <w:unhideWhenUsed/>
    <w:pPr>
      <w:spacing w:after="0" w:line="220" w:lineRule="atLeast"/>
    </w:pPr>
  </w:style>
  <w:style w:type="paragraph" w:customStyle="1" w:styleId="CowiTitle">
    <w:name w:val="CowiTitle"/>
    <w:basedOn w:val="BodyText"/>
    <w:next w:val="BodyText"/>
    <w:semiHidden/>
    <w:pPr>
      <w:spacing w:after="320" w:line="320" w:lineRule="atLeast"/>
    </w:pPr>
    <w:rPr>
      <w:sz w:val="26"/>
      <w:szCs w:val="24"/>
    </w:rPr>
  </w:style>
  <w:style w:type="paragraph" w:styleId="ListBullet3">
    <w:name w:val="List Bullet 3"/>
    <w:basedOn w:val="ListBullet2"/>
    <w:uiPriority w:val="4"/>
    <w:pPr>
      <w:numPr>
        <w:ilvl w:val="2"/>
      </w:numPr>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pPr>
  </w:style>
  <w:style w:type="paragraph" w:customStyle="1" w:styleId="ListBullet3NoSpace">
    <w:name w:val="List Bullet 3 NoSpace"/>
    <w:basedOn w:val="ListBullet3"/>
    <w:uiPriority w:val="4"/>
    <w:qFormat/>
    <w:pPr>
      <w:spacing w:after="0"/>
    </w:pPr>
  </w:style>
  <w:style w:type="paragraph" w:customStyle="1" w:styleId="ListContinue3NoSpace">
    <w:name w:val="List Continue 3 NoSpace"/>
    <w:basedOn w:val="ListContinue3"/>
    <w:uiPriority w:val="6"/>
    <w:pPr>
      <w:spacing w:after="0"/>
    </w:pPr>
  </w:style>
  <w:style w:type="paragraph" w:customStyle="1" w:styleId="ListNumberNoSpace">
    <w:name w:val="List Number NoSpace"/>
    <w:basedOn w:val="ListNumber"/>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noProof/>
      <w:sz w:val="14"/>
    </w:rPr>
  </w:style>
  <w:style w:type="paragraph" w:customStyle="1" w:styleId="CowiAddress">
    <w:name w:val="CowiAddress"/>
    <w:basedOn w:val="BodyText"/>
    <w:semiHidden/>
    <w:pPr>
      <w:framePr w:w="6804" w:h="3572" w:wrap="notBeside" w:vAnchor="page" w:hAnchor="margin" w:y="1986" w:anchorLock="1"/>
      <w:spacing w:after="0" w:line="300" w:lineRule="atLeast"/>
    </w:pPr>
    <w:rPr>
      <w:szCs w:val="24"/>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unhideWhenUsed/>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sz w:val="24"/>
      <w:szCs w:val="24"/>
    </w:rPr>
  </w:style>
  <w:style w:type="paragraph" w:styleId="EnvelopeReturn">
    <w:name w:val="envelope return"/>
    <w:basedOn w:val="Normal"/>
    <w:semiHidden/>
    <w:unhideWhenUsed/>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autoRedefine/>
    <w:semiHidden/>
    <w:unhideWhenUsed/>
    <w:pPr>
      <w:numPr>
        <w:ilvl w:val="3"/>
        <w:numId w:val="6"/>
      </w:numPr>
    </w:pPr>
  </w:style>
  <w:style w:type="paragraph" w:styleId="ListBullet5">
    <w:name w:val="List Bullet 5"/>
    <w:basedOn w:val="Normal"/>
    <w:autoRedefine/>
    <w:semiHidden/>
    <w:unhideWhenUsed/>
    <w:pPr>
      <w:numPr>
        <w:numId w:val="4"/>
      </w:numPr>
    </w:pPr>
  </w:style>
  <w:style w:type="paragraph" w:styleId="ListContinue4">
    <w:name w:val="List Continue 4"/>
    <w:basedOn w:val="Normal"/>
    <w:semiHidden/>
    <w:unhideWhenUsed/>
    <w:pPr>
      <w:spacing w:after="120"/>
      <w:ind w:left="1132"/>
    </w:pPr>
  </w:style>
  <w:style w:type="paragraph" w:styleId="ListContinue5">
    <w:name w:val="List Continue 5"/>
    <w:basedOn w:val="Normal"/>
    <w:semiHidden/>
    <w:unhideWhenUsed/>
    <w:pPr>
      <w:spacing w:after="120"/>
      <w:ind w:left="1415"/>
    </w:pPr>
  </w:style>
  <w:style w:type="paragraph" w:styleId="ListNumber4">
    <w:name w:val="List Number 4"/>
    <w:basedOn w:val="Normal"/>
    <w:semiHidden/>
    <w:unhideWhenUsed/>
    <w:pPr>
      <w:numPr>
        <w:ilvl w:val="3"/>
        <w:numId w:val="7"/>
      </w:numPr>
    </w:pPr>
  </w:style>
  <w:style w:type="paragraph" w:styleId="ListNumber5">
    <w:name w:val="List Number 5"/>
    <w:basedOn w:val="Normal"/>
    <w:semiHidden/>
    <w:unhideWhenUsed/>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semiHidden/>
    <w:unhideWhenUsed/>
    <w:rPr>
      <w:rFonts w:ascii="Courier New" w:hAnsi="Courier New" w:cs="Courier New"/>
    </w:rPr>
  </w:style>
  <w:style w:type="paragraph" w:styleId="Salutation">
    <w:name w:val="Salutation"/>
    <w:basedOn w:val="Normal"/>
    <w:next w:val="Normal"/>
    <w:unhideWhenUsed/>
    <w:pPr>
      <w:spacing w:after="280"/>
    </w:pPr>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leGrid5"/>
    <w:uiPriority w:val="99"/>
    <w:rsid w:val="0088353C"/>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sid w:val="00B37A6B"/>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pPr>
      <w:numPr>
        <w:numId w:val="8"/>
      </w:numPr>
    </w:pPr>
  </w:style>
  <w:style w:type="numbering" w:customStyle="1" w:styleId="CowiTableNumberList">
    <w:name w:val="CowiTableNumberList"/>
    <w:basedOn w:val="NoList"/>
    <w:uiPriority w:val="99"/>
    <w:pPr>
      <w:numPr>
        <w:numId w:val="9"/>
      </w:numPr>
    </w:pPr>
  </w:style>
  <w:style w:type="paragraph" w:customStyle="1" w:styleId="TableBullet">
    <w:name w:val="Table Bullet"/>
    <w:basedOn w:val="TableText"/>
    <w:uiPriority w:val="7"/>
    <w:qFormat/>
    <w:pPr>
      <w:numPr>
        <w:numId w:val="8"/>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spacing w:after="0"/>
    </w:pPr>
  </w:style>
  <w:style w:type="paragraph" w:customStyle="1" w:styleId="TableBullet2NoSpace">
    <w:name w:val="Table Bullet 2 NoSpace"/>
    <w:basedOn w:val="TableBullet2"/>
    <w:uiPriority w:val="7"/>
    <w:qFormat/>
    <w:pPr>
      <w:spacing w:after="0"/>
      <w:ind w:left="568" w:hanging="284"/>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0"/>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TableText">
    <w:name w:val="Table Text"/>
    <w:basedOn w:val="Normal"/>
    <w:uiPriority w:val="7"/>
    <w:qFormat/>
    <w:pPr>
      <w:spacing w:after="120" w:line="220" w:lineRule="atLeast"/>
    </w:pPr>
    <w:rPr>
      <w:sz w:val="16"/>
      <w:szCs w:val="23"/>
    </w:rPr>
  </w:style>
  <w:style w:type="paragraph" w:customStyle="1" w:styleId="TableNumber3NoSpace">
    <w:name w:val="Table Number 3 NoSpace"/>
    <w:basedOn w:val="TableNumber3"/>
    <w:uiPriority w:val="7"/>
    <w:qFormat/>
    <w:pPr>
      <w:spacing w:after="0"/>
    </w:pPr>
  </w:style>
  <w:style w:type="character" w:customStyle="1" w:styleId="CowiLabel">
    <w:name w:val="Cowi Label"/>
    <w:basedOn w:val="DefaultParagraphFont"/>
    <w:uiPriority w:val="1"/>
    <w:semiHidden/>
    <w:rPr>
      <w:rFonts w:ascii="Verdana" w:hAnsi="Verdana" w:cs="Arial"/>
      <w:caps/>
      <w:smallCaps w:val="0"/>
      <w:color w:val="F04E23"/>
      <w:sz w:val="11"/>
    </w:rPr>
  </w:style>
  <w:style w:type="paragraph" w:customStyle="1" w:styleId="FRI">
    <w:name w:val="FRI"/>
    <w:basedOn w:val="Normal"/>
    <w:semiHidden/>
    <w:pPr>
      <w:framePr w:w="2835" w:hSpace="567" w:wrap="around" w:vAnchor="page" w:hAnchor="page" w:xAlign="right" w:yAlign="bottom" w:anchorLock="1"/>
      <w:tabs>
        <w:tab w:val="left" w:pos="284"/>
      </w:tabs>
      <w:spacing w:before="60" w:line="140" w:lineRule="atLeast"/>
    </w:pPr>
    <w:rPr>
      <w:noProof/>
      <w:sz w:val="11"/>
    </w:rPr>
  </w:style>
  <w:style w:type="paragraph" w:customStyle="1" w:styleId="FRIending">
    <w:name w:val="FRIending"/>
    <w:basedOn w:val="FRI"/>
    <w:uiPriority w:val="7"/>
    <w:semiHidden/>
    <w:qFormat/>
    <w:pPr>
      <w:framePr w:wrap="around"/>
      <w:spacing w:after="570"/>
    </w:pPr>
  </w:style>
  <w:style w:type="paragraph" w:customStyle="1" w:styleId="FooterFirst">
    <w:name w:val="FooterFirst"/>
    <w:basedOn w:val="Footer"/>
    <w:uiPriority w:val="7"/>
    <w:qFormat/>
    <w:pPr>
      <w:ind w:right="-142"/>
    </w:pPr>
  </w:style>
  <w:style w:type="character" w:styleId="UnresolvedMention">
    <w:name w:val="Unresolved Mention"/>
    <w:basedOn w:val="DefaultParagraphFont"/>
    <w:uiPriority w:val="99"/>
    <w:semiHidden/>
    <w:unhideWhenUsed/>
    <w:rsid w:val="004B2409"/>
    <w:rPr>
      <w:color w:val="605E5C"/>
      <w:shd w:val="clear" w:color="auto" w:fill="E1DFDD"/>
    </w:rPr>
  </w:style>
  <w:style w:type="character" w:customStyle="1" w:styleId="Heading1Char">
    <w:name w:val="Heading 1 Char"/>
    <w:basedOn w:val="DefaultParagraphFont"/>
    <w:link w:val="Heading1"/>
    <w:uiPriority w:val="9"/>
    <w:rsid w:val="00875E53"/>
    <w:rPr>
      <w:rFonts w:ascii="Verdana" w:hAnsi="Verdana" w:cs="Arial"/>
      <w:sz w:val="28"/>
      <w:lang w:val="en-US"/>
    </w:rPr>
  </w:style>
  <w:style w:type="character" w:customStyle="1" w:styleId="field">
    <w:name w:val="field"/>
    <w:basedOn w:val="DefaultParagraphFont"/>
    <w:rsid w:val="00875E53"/>
  </w:style>
  <w:style w:type="character" w:customStyle="1" w:styleId="ui-provider">
    <w:name w:val="ui-provider"/>
    <w:basedOn w:val="DefaultParagraphFont"/>
    <w:rsid w:val="004D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3558">
      <w:bodyDiv w:val="1"/>
      <w:marLeft w:val="0"/>
      <w:marRight w:val="0"/>
      <w:marTop w:val="0"/>
      <w:marBottom w:val="0"/>
      <w:divBdr>
        <w:top w:val="none" w:sz="0" w:space="0" w:color="auto"/>
        <w:left w:val="none" w:sz="0" w:space="0" w:color="auto"/>
        <w:bottom w:val="none" w:sz="0" w:space="0" w:color="auto"/>
        <w:right w:val="none" w:sz="0" w:space="0" w:color="auto"/>
      </w:divBdr>
    </w:div>
    <w:div w:id="306008404">
      <w:bodyDiv w:val="1"/>
      <w:marLeft w:val="0"/>
      <w:marRight w:val="0"/>
      <w:marTop w:val="0"/>
      <w:marBottom w:val="0"/>
      <w:divBdr>
        <w:top w:val="none" w:sz="0" w:space="0" w:color="auto"/>
        <w:left w:val="none" w:sz="0" w:space="0" w:color="auto"/>
        <w:bottom w:val="none" w:sz="0" w:space="0" w:color="auto"/>
        <w:right w:val="none" w:sz="0" w:space="0" w:color="auto"/>
      </w:divBdr>
    </w:div>
    <w:div w:id="524514078">
      <w:bodyDiv w:val="1"/>
      <w:marLeft w:val="0"/>
      <w:marRight w:val="0"/>
      <w:marTop w:val="0"/>
      <w:marBottom w:val="0"/>
      <w:divBdr>
        <w:top w:val="none" w:sz="0" w:space="0" w:color="auto"/>
        <w:left w:val="none" w:sz="0" w:space="0" w:color="auto"/>
        <w:bottom w:val="none" w:sz="0" w:space="0" w:color="auto"/>
        <w:right w:val="none" w:sz="0" w:space="0" w:color="auto"/>
      </w:divBdr>
    </w:div>
    <w:div w:id="1168207951">
      <w:bodyDiv w:val="1"/>
      <w:marLeft w:val="0"/>
      <w:marRight w:val="0"/>
      <w:marTop w:val="0"/>
      <w:marBottom w:val="0"/>
      <w:divBdr>
        <w:top w:val="none" w:sz="0" w:space="0" w:color="auto"/>
        <w:left w:val="none" w:sz="0" w:space="0" w:color="auto"/>
        <w:bottom w:val="none" w:sz="0" w:space="0" w:color="auto"/>
        <w:right w:val="none" w:sz="0" w:space="0" w:color="auto"/>
      </w:divBdr>
    </w:div>
    <w:div w:id="17525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mtwg.com/wp-content/uploads/2023/02/MTWGAnchorPenetrationandStrikes_FinalReport_2021.pdf" TargetMode="External"/><Relationship Id="rId18" Type="http://schemas.openxmlformats.org/officeDocument/2006/relationships/hyperlink" Target="http://yokohamazone.com/index.php" TargetMode="External"/><Relationship Id="rId26" Type="http://schemas.openxmlformats.org/officeDocument/2006/relationships/hyperlink" Target="https://www.fcc.gov/cable-landing-license-act" TargetMode="External"/><Relationship Id="rId39" Type="http://schemas.openxmlformats.org/officeDocument/2006/relationships/hyperlink" Target="https://www.boem.gov/sites/default/files/documents/environment/Wind-Turbine-Foundations-White%20Paper-Final-White-Paper.pdf" TargetMode="External"/><Relationship Id="rId21" Type="http://schemas.openxmlformats.org/officeDocument/2006/relationships/hyperlink" Target="http://www.oscagroup.com/" TargetMode="External"/><Relationship Id="rId34" Type="http://schemas.openxmlformats.org/officeDocument/2006/relationships/hyperlink" Target="https://www.boem.gov/renewable-energy/regulatory-framework-and-guidelines" TargetMode="External"/><Relationship Id="rId42" Type="http://schemas.openxmlformats.org/officeDocument/2006/relationships/hyperlink" Target="https://www.bsee.gov/sites/bsee.gov/files/tap-technical-assessment-program/722aa.pdf" TargetMode="External"/><Relationship Id="rId47" Type="http://schemas.openxmlformats.org/officeDocument/2006/relationships/hyperlink" Target="https://www.noaa.gov/submarine-cables" TargetMode="External"/><Relationship Id="rId50" Type="http://schemas.openxmlformats.org/officeDocument/2006/relationships/hyperlink" Target="https://www.navfac.navy.mil/Business-Lines/Design-and-Construction/Products-and-Services/NAVFAC-Ocean-Facilities-Office/Naval-Sea-Floor-Cable-Protection-Office/" TargetMode="External"/><Relationship Id="rId55" Type="http://schemas.openxmlformats.org/officeDocument/2006/relationships/hyperlink" Target="https://www.youtube.com/watch?v=3NJQZmHWQSo&amp;t=210s" TargetMode="External"/><Relationship Id="rId63" Type="http://schemas.openxmlformats.org/officeDocument/2006/relationships/hyperlink" Target="https://www2.itif.org/2019-submarine-cables.pdf" TargetMode="External"/><Relationship Id="rId68" Type="http://schemas.openxmlformats.org/officeDocument/2006/relationships/hyperlink" Target="https://www.mbari.org/wp-content/uploads/2016/02/MBARI-Potential-impacts-of-the-Monterey-Accelerated-Research-System-2015.pdf" TargetMode="External"/><Relationship Id="rId76" Type="http://schemas.openxmlformats.org/officeDocument/2006/relationships/hyperlink" Target="https://www.rpsgroup.com/media/4295/review-of-cable-installation-protection-mitigation-and-habitat-recoverability.pdf" TargetMode="External"/><Relationship Id="rId7" Type="http://schemas.openxmlformats.org/officeDocument/2006/relationships/settings" Target="settings.xml"/><Relationship Id="rId71" Type="http://schemas.openxmlformats.org/officeDocument/2006/relationships/hyperlink" Target="https://tethys.pnnl.gov/sites/default/files/publications/Noise_and_Vibration_from_Offshore_Wind_Turbines_on_Marine_%20Wildlife.pdf" TargetMode="External"/><Relationship Id="rId2" Type="http://schemas.openxmlformats.org/officeDocument/2006/relationships/customXml" Target="../customXml/item2.xml"/><Relationship Id="rId16" Type="http://schemas.openxmlformats.org/officeDocument/2006/relationships/hyperlink" Target="https://www.acma2017.com/" TargetMode="External"/><Relationship Id="rId29" Type="http://schemas.openxmlformats.org/officeDocument/2006/relationships/hyperlink" Target="https://transition.fcc.gov/pshs/advisory/csric4/CSRIC_IV_WG8_Report1_3Dec2014.pdf" TargetMode="External"/><Relationship Id="rId11" Type="http://schemas.openxmlformats.org/officeDocument/2006/relationships/hyperlink" Target="https://www.youtube.com/watch?v=Cr4QTBcXW_c" TargetMode="External"/><Relationship Id="rId24" Type="http://schemas.openxmlformats.org/officeDocument/2006/relationships/hyperlink" Target="https://www.fcc.gov/" TargetMode="External"/><Relationship Id="rId32" Type="http://schemas.openxmlformats.org/officeDocument/2006/relationships/hyperlink" Target="https://www.boem.gov/" TargetMode="External"/><Relationship Id="rId37" Type="http://schemas.openxmlformats.org/officeDocument/2006/relationships/hyperlink" Target="https://www.boem.gov/sites/default/files/renewable-energy-program/Fishing-BMP-Final-Report-July-2014.pdf" TargetMode="External"/><Relationship Id="rId40" Type="http://schemas.openxmlformats.org/officeDocument/2006/relationships/hyperlink" Target="https://espis.boem.gov/final%20reports/5115.pdf" TargetMode="External"/><Relationship Id="rId45" Type="http://schemas.openxmlformats.org/officeDocument/2006/relationships/hyperlink" Target="https://www.energy.gov/sites/prod/files/2017/03/f34/effects-emf-emissions-from-cables-junction-boxes.pdf" TargetMode="External"/><Relationship Id="rId53" Type="http://schemas.openxmlformats.org/officeDocument/2006/relationships/hyperlink" Target="https://www.fisheries.noaa.gov/inport/item/57238" TargetMode="External"/><Relationship Id="rId58" Type="http://schemas.openxmlformats.org/officeDocument/2006/relationships/hyperlink" Target="https://www.youtube.com/watch?v=TkTqpIooDhw&amp;t=2s" TargetMode="External"/><Relationship Id="rId66" Type="http://schemas.openxmlformats.org/officeDocument/2006/relationships/hyperlink" Target="https://tethys.pnnl.gov/publications/state-of-the-science-2020-chapter-5-electromagnetic-fields" TargetMode="External"/><Relationship Id="rId74" Type="http://schemas.openxmlformats.org/officeDocument/2006/relationships/hyperlink" Target="https://us.orsted.com/-/media/www/docs/corp/us/mariners/fishing-gear-conflict-prevention-and-claim-procedure-final.%20ashx?la=en&amp;hash=a41e8a31b9769913b280e1696cd47b1b"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kis-orca.org/" TargetMode="External"/><Relationship Id="rId10" Type="http://schemas.openxmlformats.org/officeDocument/2006/relationships/endnotes" Target="endnotes.xml"/><Relationship Id="rId19" Type="http://schemas.openxmlformats.org/officeDocument/2006/relationships/hyperlink" Target="http://www.n-a-s-c-a.org/" TargetMode="External"/><Relationship Id="rId31" Type="http://schemas.openxmlformats.org/officeDocument/2006/relationships/hyperlink" Target="https://transition.fcc.gov/bureaus/pshs/advisory/csric5/WG4A_Final_091416.pdf" TargetMode="External"/><Relationship Id="rId44" Type="http://schemas.openxmlformats.org/officeDocument/2006/relationships/hyperlink" Target="https://www.nrel.gov/docs/fy20osti/71125.pdf" TargetMode="External"/><Relationship Id="rId52" Type="http://schemas.openxmlformats.org/officeDocument/2006/relationships/hyperlink" Target="http://www.n-a-s-c-a.org/cable-maps/" TargetMode="External"/><Relationship Id="rId60" Type="http://schemas.openxmlformats.org/officeDocument/2006/relationships/hyperlink" Target="https://www.sigcables.com/index.php/apropos" TargetMode="External"/><Relationship Id="rId65" Type="http://schemas.openxmlformats.org/officeDocument/2006/relationships/hyperlink" Target="file:///C:\Users\SAWL\AppData\Local\Temp\1\MicrosoftEdgeDownloads\e7043309-32b8-4524-95bb-78049b309227\ICPC_Fishing_Booklet_Rev_2.pdf" TargetMode="External"/><Relationship Id="rId73" Type="http://schemas.openxmlformats.org/officeDocument/2006/relationships/hyperlink" Target="http://www.ofcc.com/Procedures2.6.17.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cpc.org/" TargetMode="External"/><Relationship Id="rId22" Type="http://schemas.openxmlformats.org/officeDocument/2006/relationships/hyperlink" Target="https://suboptic.org/" TargetMode="External"/><Relationship Id="rId27" Type="http://schemas.openxmlformats.org/officeDocument/2006/relationships/hyperlink" Target="https://www.fcc.gov/submarine-cables" TargetMode="External"/><Relationship Id="rId30" Type="http://schemas.openxmlformats.org/officeDocument/2006/relationships/hyperlink" Target="https://transition.fcc.gov/bureaus/pshs/advisory/csric5/WG4A_Report-Intergovernmental-Interjurisdictional-Coordination_June2016.pdf" TargetMode="External"/><Relationship Id="rId35" Type="http://schemas.openxmlformats.org/officeDocument/2006/relationships/hyperlink" Target="https://www.boem.gov/renewable-energy/survey-guidelines-renewable-energy-development" TargetMode="External"/><Relationship Id="rId43" Type="http://schemas.openxmlformats.org/officeDocument/2006/relationships/hyperlink" Target="https://www.bsee.gov/sites/bsee.gov/files/tap-technical-assessment-program/final-report-offshore-electrical-cable-burial-for-wind-farms.pdf" TargetMode="External"/><Relationship Id="rId48" Type="http://schemas.openxmlformats.org/officeDocument/2006/relationships/hyperlink" Target="https://www.noaa.gov/gc-international-section/submarine-cables-domestic-regulation" TargetMode="External"/><Relationship Id="rId56" Type="http://schemas.openxmlformats.org/officeDocument/2006/relationships/hyperlink" Target="https://boskalis.com/activities/offshore-energy/offshore-wind-farm-installation/subseacables" TargetMode="External"/><Relationship Id="rId64" Type="http://schemas.openxmlformats.org/officeDocument/2006/relationships/hyperlink" Target="https://tethys.pnnl.gov/sites/default/files/publications/COWRIE_EMF_Offshore_Cables.pdf" TargetMode="External"/><Relationship Id="rId69" Type="http://schemas.openxmlformats.org/officeDocument/2006/relationships/hyperlink" Target="https://tethys.pnnl.gov/publications/impacts-submarine-cables-marine-environment-literature-review" TargetMode="External"/><Relationship Id="rId77" Type="http://schemas.openxmlformats.org/officeDocument/2006/relationships/hyperlink" Target="https://tethys.pnnl.gov/sites/default/files/publications/Cabling_Techniques_and_Environmental_Effects.pdf" TargetMode="External"/><Relationship Id="rId8" Type="http://schemas.openxmlformats.org/officeDocument/2006/relationships/webSettings" Target="webSettings.xml"/><Relationship Id="rId51" Type="http://schemas.openxmlformats.org/officeDocument/2006/relationships/hyperlink" Target="https://marinecadastre.gov/" TargetMode="External"/><Relationship Id="rId72" Type="http://schemas.openxmlformats.org/officeDocument/2006/relationships/hyperlink" Target="https://renewables-grid.eu/fileadmin/user_upload/Files_RGI/RGI_Publications/RGI_Subseacables_short_report.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yftwg.com/wp-content/uploads/2021/05/Offshore-Wind-Submarine-Cable-Report.pdf" TargetMode="External"/><Relationship Id="rId17" Type="http://schemas.openxmlformats.org/officeDocument/2006/relationships/hyperlink" Target="https://www.mecmamc.org/public/" TargetMode="External"/><Relationship Id="rId25" Type="http://schemas.openxmlformats.org/officeDocument/2006/relationships/hyperlink" Target="https://www.fcc.gov/research-reports/guides/submarine-cable-landing-licenses" TargetMode="External"/><Relationship Id="rId33" Type="http://schemas.openxmlformats.org/officeDocument/2006/relationships/hyperlink" Target="https://www.boem.gov/renewable-energy/state-activities/fishing-and-offshore-renewable-energy-frequently-asked-questions" TargetMode="External"/><Relationship Id="rId38" Type="http://schemas.openxmlformats.org/officeDocument/2006/relationships/hyperlink" Target="https://espis.boem.gov/final%20reports/5596.pdf" TargetMode="External"/><Relationship Id="rId46" Type="http://schemas.openxmlformats.org/officeDocument/2006/relationships/hyperlink" Target="https://www.ferc.gov/" TargetMode="External"/><Relationship Id="rId59" Type="http://schemas.openxmlformats.org/officeDocument/2006/relationships/hyperlink" Target="https://www.youtube.com/watch?v=K6uXJgZY6-4" TargetMode="External"/><Relationship Id="rId67" Type="http://schemas.openxmlformats.org/officeDocument/2006/relationships/hyperlink" Target="https://nmsmontereybay.blob.core.windows.net/montereybay-prod/media/research/techreports/cablesurveynov2003.pdf" TargetMode="External"/><Relationship Id="rId20" Type="http://schemas.openxmlformats.org/officeDocument/2006/relationships/hyperlink" Target="https://www.escaeu.org/" TargetMode="External"/><Relationship Id="rId41" Type="http://schemas.openxmlformats.org/officeDocument/2006/relationships/hyperlink" Target="https://tethys.pnnl.gov/sites/default/files/publications/Snyderetal2019.pdf" TargetMode="External"/><Relationship Id="rId54" Type="http://schemas.openxmlformats.org/officeDocument/2006/relationships/hyperlink" Target="https://www.fisheries.noaa.gov/foss/f?p=215:200:8817814928460:Mail::::" TargetMode="External"/><Relationship Id="rId62" Type="http://schemas.openxmlformats.org/officeDocument/2006/relationships/hyperlink" Target="https://www.submarinecablemap.com/" TargetMode="External"/><Relationship Id="rId70" Type="http://schemas.openxmlformats.org/officeDocument/2006/relationships/hyperlink" Target="https://www.ospar.org/documents?d=7160" TargetMode="External"/><Relationship Id="rId75" Type="http://schemas.openxmlformats.org/officeDocument/2006/relationships/hyperlink" Target="https://www.gc.noaa.gov/documents/2017/12-02e_agreement_cables_guidelin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kcpc.dk/" TargetMode="External"/><Relationship Id="rId23" Type="http://schemas.openxmlformats.org/officeDocument/2006/relationships/hyperlink" Target="https://www.isa.org.jm/about-isa/" TargetMode="External"/><Relationship Id="rId28" Type="http://schemas.openxmlformats.org/officeDocument/2006/relationships/hyperlink" Target="https://www.fcc.gov/international/circuit-capacity-data-us-international-submarine-cables" TargetMode="External"/><Relationship Id="rId36" Type="http://schemas.openxmlformats.org/officeDocument/2006/relationships/hyperlink" Target="https://www.boem.gov/sites/default/files/documents/about-boem/COP%20Guidelines.pdf" TargetMode="External"/><Relationship Id="rId49" Type="http://schemas.openxmlformats.org/officeDocument/2006/relationships/hyperlink" Target="https://www.usace.army.mil/Missions/Civil-Works/Regulatory-Program-and-Permits/" TargetMode="External"/><Relationship Id="rId57" Type="http://schemas.openxmlformats.org/officeDocument/2006/relationships/hyperlink" Target="https://www.youtube.com/watch?v=L_pROFi83H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Letter.DOTM" TargetMode="External"/></Relationships>
</file>

<file path=word/theme/theme1.xml><?xml version="1.0" encoding="utf-8"?>
<a:theme xmlns:a="http://schemas.openxmlformats.org/drawingml/2006/main" name="COWI">
  <a:themeElements>
    <a:clrScheme name="COWI">
      <a:dk1>
        <a:srgbClr val="000000"/>
      </a:dk1>
      <a:lt1>
        <a:sysClr val="window" lastClr="FFFFFF"/>
      </a:lt1>
      <a:dk2>
        <a:srgbClr val="58595B"/>
      </a:dk2>
      <a:lt2>
        <a:srgbClr val="D0C7BD"/>
      </a:lt2>
      <a:accent1>
        <a:srgbClr val="435A69"/>
      </a:accent1>
      <a:accent2>
        <a:srgbClr val="9DB8AF"/>
      </a:accent2>
      <a:accent3>
        <a:srgbClr val="F04E23"/>
      </a:accent3>
      <a:accent4>
        <a:srgbClr val="B3D455"/>
      </a:accent4>
      <a:accent5>
        <a:srgbClr val="0A6791"/>
      </a:accent5>
      <a:accent6>
        <a:srgbClr val="FADD89"/>
      </a:accent6>
      <a:hlink>
        <a:srgbClr val="F04E23"/>
      </a:hlink>
      <a:folHlink>
        <a:srgbClr val="867E78"/>
      </a:folHlink>
    </a:clrScheme>
    <a:fontScheme name="COWI 2015">
      <a:majorFont>
        <a:latin typeface="Verdana"/>
        <a:ea typeface=""/>
        <a:cs typeface=""/>
      </a:majorFont>
      <a:minorFont>
        <a:latin typeface="Verdana"/>
        <a:ea typeface=""/>
        <a:cs typeface=""/>
      </a:minorFont>
    </a:fontScheme>
    <a:fmtScheme name="COWI 2015">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OWI 2015" id="{C7D874C8-2039-466C-AD55-84BC20614C70}" vid="{A091C50E-1C2A-4C41-BA23-8AE5D2A8B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57427fa2-a84f-493d-a2b1-8e6ef0451222" xsi:nil="true"/>
    <lcf76f155ced4ddcb4097134ff3c332f xmlns="7c0eb613-dab0-45d0-bfb7-b4e455c691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2ECBB13E41C479C4BA01922D57FC3" ma:contentTypeVersion="12" ma:contentTypeDescription="Create a new document." ma:contentTypeScope="" ma:versionID="9a8a611b937def317a3cfb0a9ad2b4fd">
  <xsd:schema xmlns:xsd="http://www.w3.org/2001/XMLSchema" xmlns:xs="http://www.w3.org/2001/XMLSchema" xmlns:p="http://schemas.microsoft.com/office/2006/metadata/properties" xmlns:ns2="7c0eb613-dab0-45d0-bfb7-b4e455c69194" xmlns:ns3="57427fa2-a84f-493d-a2b1-8e6ef0451222" targetNamespace="http://schemas.microsoft.com/office/2006/metadata/properties" ma:root="true" ma:fieldsID="cfe83df3924e4d1e1f2ac65af78c34f4" ns2:_="" ns3:_="">
    <xsd:import namespace="7c0eb613-dab0-45d0-bfb7-b4e455c69194"/>
    <xsd:import namespace="57427fa2-a84f-493d-a2b1-8e6ef0451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b613-dab0-45d0-bfb7-b4e455c69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b14d2a-266d-41d8-ae34-cec0a80f25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7fa2-a84f-493d-a2b1-8e6ef04512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e08f05-6398-4570-9efa-eb8d2644aba7}" ma:internalName="TaxCatchAll" ma:showField="CatchAllData" ma:web="57427fa2-a84f-493d-a2b1-8e6ef0451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6BD4A-9D4E-4A50-9DF3-B401125716BC}">
  <ds:schemaRefs>
    <ds:schemaRef ds:uri="http://schemas.openxmlformats.org/officeDocument/2006/bibliography"/>
  </ds:schemaRefs>
</ds:datastoreItem>
</file>

<file path=customXml/itemProps2.xml><?xml version="1.0" encoding="utf-8"?>
<ds:datastoreItem xmlns:ds="http://schemas.openxmlformats.org/officeDocument/2006/customXml" ds:itemID="{B6BDECAD-C989-461A-A521-4F6912AE69B2}">
  <ds:schemaRefs>
    <ds:schemaRef ds:uri="http://schemas.microsoft.com/office/2006/metadata/properties"/>
    <ds:schemaRef ds:uri="57427fa2-a84f-493d-a2b1-8e6ef0451222"/>
    <ds:schemaRef ds:uri="7c0eb613-dab0-45d0-bfb7-b4e455c69194"/>
    <ds:schemaRef ds:uri="http://schemas.microsoft.com/office/infopath/2007/PartnerControls"/>
  </ds:schemaRefs>
</ds:datastoreItem>
</file>

<file path=customXml/itemProps3.xml><?xml version="1.0" encoding="utf-8"?>
<ds:datastoreItem xmlns:ds="http://schemas.openxmlformats.org/officeDocument/2006/customXml" ds:itemID="{FAC68397-F292-4E83-9C34-D7FA54B3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eb613-dab0-45d0-bfb7-b4e455c69194"/>
    <ds:schemaRef ds:uri="57427fa2-a84f-493d-a2b1-8e6ef045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EAA3F-1F93-44A2-B560-397808AA8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Cowi_Letter</Template>
  <TotalTime>1207</TotalTime>
  <Pages>8</Pages>
  <Words>2955</Words>
  <Characters>16460</Characters>
  <Application>Microsoft Office Word</Application>
  <DocSecurity>0</DocSecurity>
  <Lines>484</Lines>
  <Paragraphs>248</Paragraphs>
  <ScaleCrop>false</ScaleCrop>
  <HeadingPairs>
    <vt:vector size="2" baseType="variant">
      <vt:variant>
        <vt:lpstr>Title</vt:lpstr>
      </vt:variant>
      <vt:variant>
        <vt:i4>1</vt:i4>
      </vt:variant>
    </vt:vector>
  </HeadingPairs>
  <TitlesOfParts>
    <vt:vector size="1" baseType="lpstr">
      <vt:lpstr>Cabling References</vt:lpstr>
    </vt:vector>
  </TitlesOfParts>
  <Company>COWI North America</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Cabling References</dc:title>
  <dc:subject/>
  <dc:creator>Sabine Wilkie</dc:creator>
  <cp:keywords/>
  <cp:lastModifiedBy>Sabine Wilkie</cp:lastModifiedBy>
  <cp:revision>4</cp:revision>
  <cp:lastPrinted>2004-11-08T14:47:00Z</cp:lastPrinted>
  <dcterms:created xsi:type="dcterms:W3CDTF">2023-05-17T16:53:00Z</dcterms:created>
  <dcterms:modified xsi:type="dcterms:W3CDTF">2023-05-18T13:13:00Z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Language">
    <vt:lpwstr>English [US]</vt:lpwstr>
  </property>
  <property fmtid="{D5CDD505-2E9C-101B-9397-08002B2CF9AE}" pid="4" name="Office">
    <vt:lpwstr>Halifax</vt:lpwstr>
  </property>
  <property fmtid="{D5CDD505-2E9C-101B-9397-08002B2CF9AE}" pid="5" name="Project">
    <vt:lpwstr> </vt:lpwstr>
  </property>
  <property fmtid="{D5CDD505-2E9C-101B-9397-08002B2CF9AE}" pid="6" name="CowiTitle">
    <vt:lpwstr> </vt:lpwstr>
  </property>
  <property fmtid="{D5CDD505-2E9C-101B-9397-08002B2CF9AE}" pid="7" name="CowiDate">
    <vt:lpwstr> </vt:lpwstr>
  </property>
  <property fmtid="{D5CDD505-2E9C-101B-9397-08002B2CF9AE}" pid="8" name="CowiOurRef">
    <vt:lpwstr> </vt:lpwstr>
  </property>
  <property fmtid="{D5CDD505-2E9C-101B-9397-08002B2CF9AE}" pid="9" name="ContentType">
    <vt:lpwstr>COWI Letter</vt:lpwstr>
  </property>
  <property fmtid="{D5CDD505-2E9C-101B-9397-08002B2CF9AE}" pid="10" name="PortalAuthor">
    <vt:lpwstr> </vt:lpwstr>
  </property>
  <property fmtid="{D5CDD505-2E9C-101B-9397-08002B2CF9AE}" pid="11" name="PortalLanguage">
    <vt:lpwstr> </vt:lpwstr>
  </property>
  <property fmtid="{D5CDD505-2E9C-101B-9397-08002B2CF9AE}" pid="12" name="CowiAddress">
    <vt:lpwstr> </vt:lpwstr>
  </property>
  <property fmtid="{D5CDD505-2E9C-101B-9397-08002B2CF9AE}" pid="13" name="Address">
    <vt:lpwstr> </vt:lpwstr>
  </property>
  <property fmtid="{D5CDD505-2E9C-101B-9397-08002B2CF9AE}" pid="14" name="ContentTypeId">
    <vt:lpwstr>0x0101003212ECBB13E41C479C4BA01922D57FC3</vt:lpwstr>
  </property>
  <property fmtid="{D5CDD505-2E9C-101B-9397-08002B2CF9AE}" pid="15" name="MSIP_Label_120b757d-2548-4aee-bc90-d7a8c7f698de_Enabled">
    <vt:lpwstr>true</vt:lpwstr>
  </property>
  <property fmtid="{D5CDD505-2E9C-101B-9397-08002B2CF9AE}" pid="16" name="MSIP_Label_120b757d-2548-4aee-bc90-d7a8c7f698de_SetDate">
    <vt:lpwstr>2021-01-13T17:37:15Z</vt:lpwstr>
  </property>
  <property fmtid="{D5CDD505-2E9C-101B-9397-08002B2CF9AE}" pid="17" name="MSIP_Label_120b757d-2548-4aee-bc90-d7a8c7f698de_Method">
    <vt:lpwstr>Standard</vt:lpwstr>
  </property>
  <property fmtid="{D5CDD505-2E9C-101B-9397-08002B2CF9AE}" pid="18" name="MSIP_Label_120b757d-2548-4aee-bc90-d7a8c7f698de_Name">
    <vt:lpwstr>General</vt:lpwstr>
  </property>
  <property fmtid="{D5CDD505-2E9C-101B-9397-08002B2CF9AE}" pid="19" name="MSIP_Label_120b757d-2548-4aee-bc90-d7a8c7f698de_SiteId">
    <vt:lpwstr>11be1538-79d8-4939-82b8-b767805d825b</vt:lpwstr>
  </property>
  <property fmtid="{D5CDD505-2E9C-101B-9397-08002B2CF9AE}" pid="20" name="MSIP_Label_120b757d-2548-4aee-bc90-d7a8c7f698de_ActionId">
    <vt:lpwstr>e62d26e8-296e-4ad5-b812-fa07266bd99a</vt:lpwstr>
  </property>
  <property fmtid="{D5CDD505-2E9C-101B-9397-08002B2CF9AE}" pid="21" name="MSIP_Label_120b757d-2548-4aee-bc90-d7a8c7f698de_ContentBits">
    <vt:lpwstr>0</vt:lpwstr>
  </property>
  <property fmtid="{D5CDD505-2E9C-101B-9397-08002B2CF9AE}" pid="22" name="MediaServiceImageTags">
    <vt:lpwstr/>
  </property>
</Properties>
</file>